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58019-2022 i Töreboda kommun</w:t>
      </w:r>
    </w:p>
    <w:p>
      <w:r>
        <w:t>Denna tillsynsbegäran behandlar höga naturvärden i avverkningsanmälan A 58019-2022 i Töreboda kommun som inkom 2022-12-05 och omfattar 2,0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58019-2022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6501991, E 455589 i SWEREF 99 TM.</w:t>
      </w:r>
    </w:p>
    <w:p>
      <w:r>
        <w:t>Inom 10 meter från avverkningsanmälan finns fynd av 4 naturvårdsarter, varav 1 är rödlistad, 2 är fridlysta, 2 är typiska (T) och 1 är signalart (S): lundviva (NT), strutbräken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Lundviva (NT)</w:t>
      </w:r>
      <w:r>
        <w:t xml:space="preserve"> är fridlyst enligt 8 § artskyddsförordningen i Skåne län och växer i fuktiga ängslövskogar (främst bok-, alm-, ask-, och lövblandskogar) i kalkområden. Lövskogsbruk på lokaler med lämpliga hydrologiska förhållanden skapar förutsättningar för lundvivans fortsatta existens. En försiktig, successiv förnyelse av trädbeståndet har inte någon negativ effekt, men kvarlämnande av större mängder avverkningsfall bör inte ske då detta starkt kan missgynna lundvivan. Barrträdsplantering och dikning måste undvikas på lokalerna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