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4361-2024 i Töreboda kommun</w:t>
      </w:r>
    </w:p>
    <w:p>
      <w:r>
        <w:t>Denna tillsynsbegäran behandlar höga naturvärden i samrådsanmälan S 4361-2024 i Töreboda kommun som inkom 2024-10-22 och omfattar 541,6 ha.</w:t>
      </w:r>
    </w:p>
    <w:p>
      <w:pPr>
        <w:pStyle w:val="Caption"/>
      </w:pPr>
      <w:r>
        <w:drawing>
          <wp:inline xmlns:a="http://schemas.openxmlformats.org/drawingml/2006/main" xmlns:pic="http://schemas.openxmlformats.org/drawingml/2006/picture">
            <wp:extent cx="5352455" cy="5724000"/>
            <wp:docPr id="1" name="Picture 1"/>
            <wp:cNvGraphicFramePr>
              <a:graphicFrameLocks noChangeAspect="1"/>
            </wp:cNvGraphicFramePr>
            <a:graphic>
              <a:graphicData uri="http://schemas.openxmlformats.org/drawingml/2006/picture">
                <pic:pic>
                  <pic:nvPicPr>
                    <pic:cNvPr id="0" name="S 4361-2024 karta.png"/>
                    <pic:cNvPicPr/>
                  </pic:nvPicPr>
                  <pic:blipFill>
                    <a:blip r:embed="rId16"/>
                    <a:stretch>
                      <a:fillRect/>
                    </a:stretch>
                  </pic:blipFill>
                  <pic:spPr>
                    <a:xfrm>
                      <a:off x="0" y="0"/>
                      <a:ext cx="5352455"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6490024, E 449506 i SWEREF 99 TM.</w:t>
      </w:r>
    </w:p>
    <w:p>
      <w:r>
        <w:t>I och inom 25 meter från samrådsanmälan finns fynd av 19 naturvårdsarter, varav 10 är rödlistade, 6 är fridlysta, 7 är typiska (T) och 4 är signalarter (S): frygisk spindling (VU), blå taggsvamp (NT, T), dropptaggsvamp (NT, T), fjällig taggsvamp s.str. (NT), kandelabersvamp (NT, T), kryddspindling (NT, T), persiljespindling (NT), tallkötticka (NT), talltaggsvamp (NT), talltita (NT, §4), smal svampklubba (S), större träfjäril (S), trådticka (S, T), zontaggsvamp (S), mattlummer (T, §9), spillkråka (T, §4), vanlig snok (§6),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Frygisk spindling (VU) </w:t>
      </w:r>
      <w:r>
        <w:t>förekommer huvudsakligen i äldre kontinuitetsskog där den bildar mykorrhiza med tall, i kalktallskog och lavtallskog på torr, sandig och kalkrik mark. I norra Sverige även i örtrik barrblandskog på basisk grund. Den totala populationen i landet bedöms ha minskat och förväntas fortsätta minska på grund av slutavverkning av äldre kalkbarrskog. Minskningstakten överstiger gränsvärdet för sårbar (VU). Kalavverkning eller andra åtgärder inom skogsbruket som innebär att trädkontinuiteten bryts är det mest påtagliga hotet mot arten. Frygisk spindling är globalt rödlistad som sårbar (VU) vilket innebär att Sverige har ett internationellt ansvar för arten (SLU Artdatabanken, 2026; IUCN, 2021).</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Kryddspindling (NT)</w:t>
      </w:r>
      <w:r>
        <w:t xml:space="preserve"> signalerar örtrika granskogar som normalt har höga naturvärden. Oftast växer den i äldre granskog på kalkrikt underlag och svampen är en mycket användbar signalart för denna miljö. Den utgör en viktig karaktärsart för all äldre kalkbarrskog med lång trädkontinuitet av gran. På lokalerna förekommer nästan alltid många ovanliga och rödlistade arter. Den totala populationen i landet har minskat och bedöms fortsätta minska till följd av avverkning av äldre barrskogar. Kryddspindling är typisk art för </w:t>
      </w:r>
      <w:r>
        <w:rPr>
          <w:i/>
        </w:rPr>
        <w:t xml:space="preserve">9050 Näringsrik granskog </w:t>
      </w:r>
      <w:r>
        <w:t>(Nitare &amp; Skogsstyrelsen, 2000; SLU Artdatabanken, 2026).</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blå taggsvamp (NT, T), dropptaggsvamp (NT, T), kandelabersvamp (NT, T), kryddspindling (NT, T), trådticka (S, T), mattlummer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