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38162-2025 i Göteborgs kommun</w:t>
      </w:r>
    </w:p>
    <w:p>
      <w:r>
        <w:t>Detta dokument behandlar höga naturvärden i avverkningsanmälan A 38162-2025 i Göteborgs kommun. Denna avverkningsanmälan inkom 2025-08-13 14:59:00 och omfattar 5,1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8 naturvårdsarter hittats: skogsalm (CR), ask (EN), åkerrödtoppa (NT), hasselticka (S), strutbräken (S), underviol (S), vanlig groda (§6) och gullviva (§9). Av dessa är 3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687165"/>
            <wp:docPr id="1" name="Picture 1"/>
            <wp:cNvGraphicFramePr>
              <a:graphicFrameLocks noChangeAspect="1"/>
            </wp:cNvGraphicFramePr>
            <a:graphic>
              <a:graphicData uri="http://schemas.openxmlformats.org/drawingml/2006/picture">
                <pic:pic>
                  <pic:nvPicPr>
                    <pic:cNvPr id="0" name="A 38162-2025 karta.png"/>
                    <pic:cNvPicPr/>
                  </pic:nvPicPr>
                  <pic:blipFill>
                    <a:blip r:embed="rId16"/>
                    <a:stretch>
                      <a:fillRect/>
                    </a:stretch>
                  </pic:blipFill>
                  <pic:spPr>
                    <a:xfrm>
                      <a:off x="0" y="0"/>
                      <a:ext cx="5486400" cy="568716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6415423, E 322027 i SWEREF 99 TM.</w:t>
      </w:r>
    </w:p>
    <w:p>
      <w:r>
        <w:rPr>
          <w:b/>
        </w:rPr>
        <w:t>Hasselticka</w:t>
      </w:r>
      <w:r>
        <w:t xml:space="preserve"> är en bra signalart för lundar med höga naturvärden. På lokalerna förekommer ofta många andra ovanliga och rödlistade arter. Växtplatserna har normalt långvarig lövkontinuitet av hassel (ibland al). Den kräver dessutom att det successivt bildas, och i området kontinuerligt förekommit, en viss mängd döda stammar. Arten tycks saknas i sekundära och i sen tid uppkomna al- och hasselmarker om dessa inte ligger i direkt anslutning till äldre förekomster (Nitare &amp; Skogsstyrelsen, 2019).</w:t>
      </w:r>
    </w:p>
    <w:p>
      <w:r>
        <w:rPr>
          <w:b/>
        </w:rPr>
        <w:t xml:space="preserve">Strutbräken </w:t>
      </w:r>
      <w:r>
        <w:t>är normalt en mycket bra och tydlig signalart som visar på flera olika fuktiga biotoper med rörligt markvatten som nästan alltid har höga naturvärden. Den växer på skuggiga, fuktiga, näringsrika mullmarker längs bäckdalar, åar, älvar, översilade sluttningar med högörtsgranskog och svämlövskogar med kortvarigt översvämmade sedimentplan. Växtplatserna har ytligt rörligt markvatten och konstant hög luftfuktighet. Arten är känslig för avverkning och dikning (Nitare &amp; Skogsstyrelsen, 2019).</w:t>
      </w:r>
    </w:p>
    <w:p>
      <w:r>
        <w:rPr>
          <w:b/>
        </w:rPr>
        <w:t xml:space="preserve">Underviol </w:t>
      </w:r>
      <w:r>
        <w:t>är en bra signalart i hela sitt utbredningsområde i såväl lövlundar som kalkbarrskogar. Arten är särskilt intressant när den förekommer i barrskog och indikerar då troligen relikta och hotade kalkbarrskogsekosystem. Underviol tål inte dagens storskaliga skogsbruksmetoder även om den vid enstaka tillfällen lyckas kvarstå i fuktdråg efter avverkning (Nitare &amp; Skogsstyrelsen, 2019).</w:t>
      </w:r>
    </w:p>
    <w:p>
      <w:pPr>
        <w:pStyle w:val="Heading1"/>
      </w:pPr>
      <w:r>
        <w:t>Fridlysta arter</w:t>
      </w:r>
    </w:p>
    <w:p>
      <w:r>
        <w:t>Följande fridlysta arter har sina livsmiljöer och växtplatser i den avverkningsanmälda skogen: vanlig groda (§6) och gullviva (§9).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2025-12-28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