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11 naturvårdsarter, varav 4 är rödlistade, 6 är fridlysta, 8 är typiska (T) och 2 är signalarter (S): blå kärrhök (VU, §4), gräddporing (VU, T), motaggsvamp (NT, T), vedskivlav (NT, T), rävticka (S, T), trädporella (S, T), järpe (T, §4), spillkråka (T, §4),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