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Denna tillsynsbegäran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5 naturvårdsarter, varav 3 är rödlistade, 4 är fridlysta och 2 är typiska (T): blå kärrhök (VU, §4), duvhök (NT,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