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11 naturvårdsarter, varav 4 är rödlistade, 6 är fridlysta, 8 är typiska (T) och 2 är signalarter (S): blå kärrhök (VU, §4), gräddporing (VU, T), motaggsvamp (NT, T), vedskivlav (NT, T), rävticka (S, T), trädporella (S, T), järpe (T, §4), spillkråka (T, §4), tjäder (T,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motaggsvamp (NT, T), vedskivlav (NT, T), rävticka (S, T), trädporella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