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31321-2025 i Mölndals kommun</w:t>
      </w:r>
    </w:p>
    <w:p>
      <w:r>
        <w:t>Detta klagomål behandlar höga naturvärden i avverkningsanmälan A 31321-2025 i Mölndals kommun som inkom 2025-06-25 och omfattar 6,4 ha.</w:t>
      </w:r>
    </w:p>
    <w:p>
      <w:pPr>
        <w:pStyle w:val="Caption"/>
      </w:pPr>
      <w:r>
        <w:drawing>
          <wp:inline xmlns:a="http://schemas.openxmlformats.org/drawingml/2006/main" xmlns:pic="http://schemas.openxmlformats.org/drawingml/2006/picture">
            <wp:extent cx="5486400" cy="3638746"/>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36387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6387227, E 334684 i SWEREF 99 TM.</w:t>
      </w:r>
    </w:p>
    <w:p>
      <w:r>
        <w:t>I och inom 24 meter från avverkningsanmälan finns fynd av 11 naturvårdsarter, varav 4 är rödlistade, 6 är fridlysta, 8 är typiska (T) och 2 är signalarter (S): blå kärrhök (VU, §4), gräddporing (VU, T), motaggsvamp (NT, T), vedskivlav (NT, T), rävticka (S, T), trädporella (S, T), järpe (T, §4), spillkråka (T, §4), tjäder (T,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