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5 naturvårdsarter, varav 3 är rödlistade, 4 är fridlysta och 2 är typiska (T): blå kärrhök (VU, §4),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