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31321-2025 i Mölndals kommun</w:t>
      </w:r>
    </w:p>
    <w:p>
      <w:r>
        <w:t>Denna tillsynsbegäran behandlar höga naturvärden i avverkningsanmälan A 31321-2025 i Mölndals kommun som inkom 2025-06-25 och omfattar 6,4 ha.</w:t>
      </w:r>
    </w:p>
    <w:p>
      <w:pPr>
        <w:pStyle w:val="Caption"/>
      </w:pPr>
      <w:r>
        <w:drawing>
          <wp:inline xmlns:a="http://schemas.openxmlformats.org/drawingml/2006/main" xmlns:pic="http://schemas.openxmlformats.org/drawingml/2006/picture">
            <wp:extent cx="5486400" cy="3638746"/>
            <wp:docPr id="1" name="Picture 1"/>
            <wp:cNvGraphicFramePr>
              <a:graphicFrameLocks noChangeAspect="1"/>
            </wp:cNvGraphicFramePr>
            <a:graphic>
              <a:graphicData uri="http://schemas.openxmlformats.org/drawingml/2006/picture">
                <pic:pic>
                  <pic:nvPicPr>
                    <pic:cNvPr id="0" name="A 31321-2025 karta.png"/>
                    <pic:cNvPicPr/>
                  </pic:nvPicPr>
                  <pic:blipFill>
                    <a:blip r:embed="rId16"/>
                    <a:stretch>
                      <a:fillRect/>
                    </a:stretch>
                  </pic:blipFill>
                  <pic:spPr>
                    <a:xfrm>
                      <a:off x="0" y="0"/>
                      <a:ext cx="5486400" cy="3638746"/>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6387227, E 334684 i SWEREF 99 TM.</w:t>
      </w:r>
    </w:p>
    <w:p>
      <w:r>
        <w:t>I och inom 24 meter från avverkningsanmälan finns fynd av 11 naturvårdsarter, varav 4 är rödlistade, 6 är fridlysta, 8 är typiska (T) och 2 är signalarter (S): blå kärrhök (VU, §4), gräddporing (VU, T), motaggsvamp (NT, T), vedskivlav (NT, T), rävticka (S, T), trädporella (S, T), järpe (T, §4), spillkråka (T, §4), tjäder (T, §4), revlummer (§9) och äkta lopplummer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Rävticka</w:t>
      </w:r>
      <w:r>
        <w:t xml:space="preserve"> är typisk art för </w:t>
      </w:r>
      <w:r>
        <w:rPr>
          <w:i/>
        </w:rPr>
        <w:t xml:space="preserve">9010 Taiga </w:t>
      </w:r>
      <w:r>
        <w:t>(SLU Artdatabanken, 2025).</w:t>
      </w:r>
    </w:p>
    <w:p>
      <w:r>
        <w:rPr>
          <w:b/>
        </w:rPr>
        <w:t xml:space="preserve">Trädporella </w:t>
      </w:r>
      <w:r>
        <w:t xml:space="preserve">är i stora delar av landet en utmärkt signal på skog med höga naturvärden och ofta påträffas många ovanliga och rödlistade arter på dess lokaler. Den växer huvudsakligen på grova ädellövträd i skuggiga och fuktiga miljöer, främst i slutna ädellövskogar och bergbranter med inslag av kalk- eller grönsten. Trädporella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gräddporing (VU, T), motaggsvamp (NT, T), vedskivlav (NT, T), rävticka (S, T), trädporella (S, T), järpe (T, §4),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