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36424-2025 i Kungälvs kommun</w:t>
      </w:r>
    </w:p>
    <w:p>
      <w:r>
        <w:t>Detta klagomål behandlar höga naturvärden i avverkningsanmälan A 36424-2025 i Kungälvs kommun som inkom 2025-07-30 och omfattar 16,9 ha.</w:t>
      </w:r>
    </w:p>
    <w:p>
      <w:pPr>
        <w:pStyle w:val="Caption"/>
      </w:pPr>
      <w:r>
        <w:drawing>
          <wp:inline xmlns:a="http://schemas.openxmlformats.org/drawingml/2006/main" xmlns:pic="http://schemas.openxmlformats.org/drawingml/2006/picture">
            <wp:extent cx="5228313" cy="5724000"/>
            <wp:docPr id="1" name="Picture 1"/>
            <wp:cNvGraphicFramePr>
              <a:graphicFrameLocks noChangeAspect="1"/>
            </wp:cNvGraphicFramePr>
            <a:graphic>
              <a:graphicData uri="http://schemas.openxmlformats.org/drawingml/2006/picture">
                <pic:pic>
                  <pic:nvPicPr>
                    <pic:cNvPr id="0" name="A 36424-2025 karta.png"/>
                    <pic:cNvPicPr/>
                  </pic:nvPicPr>
                  <pic:blipFill>
                    <a:blip r:embed="rId16"/>
                    <a:stretch>
                      <a:fillRect/>
                    </a:stretch>
                  </pic:blipFill>
                  <pic:spPr>
                    <a:xfrm>
                      <a:off x="0" y="0"/>
                      <a:ext cx="52283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6421741, E 321653 i SWEREF 99 TM.</w:t>
      </w:r>
    </w:p>
    <w:p>
      <w:r>
        <w:t>I avverkningsanmälan finns fynd av 12 naturvårdsarter, varav 7 är rödlistade, 5 är fridlysta, 4 är typiska (T) och 3 är signalarter (S): ask (EN), entita (NT, T, §4), grönsångare (NT, §4), skogshare (NT), sädesärla (NT, §4), vedtrappmossa (NT, T), älg (NT), blanksvart trämyra (S), blåmossa (S, T),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