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38982-2024 i Kungälvs kommun</w:t>
      </w:r>
    </w:p>
    <w:p>
      <w:r>
        <w:t>Detta dokument behandlar höga naturvärden i avverkningsanmälan A 38982-2024 i Kungälvs kommun. Denna avverkningsanmälan inkom 2024-09-13 00:00:00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hedjohannesört (VU, §8), brunpudrad nållav (NT), gransotdyna (NT), gränsticka (NT), kortskaftad ärgspik (NT), spillkråka (NT, §4), talltita (NT, §4), blåsfliksmossa (S), brandticka (S), bronshjon (S), kambräken (S), klippfrullania (S), kornig nållav (S), läderskål (S), skuggmossa (S), smal svampklubba (S), stor revmossa (S), vågbandad barkbock (S), vanlig groda (§6), mattlummer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8982-2024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6434860, E 326173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Skuggmossa </w:t>
      </w:r>
      <w:r>
        <w:t>förekommer främst i skuggiga och fuktiga granskogar med hög och jämn luftfuktighet och signalerar alltid skog med höga naturvärden (Nitare &amp; Skogsstyrelsen, 2019).</w:t>
      </w:r>
    </w:p>
    <w:p>
      <w:pPr>
        <w:pStyle w:val="Heading1"/>
      </w:pPr>
      <w:r>
        <w:t>Fridlysta arter</w:t>
      </w:r>
    </w:p>
    <w:p>
      <w:r>
        <w:t>Följande fridlysta arter har sina livsmiljöer och växtplatser i den avverkningsanmälda skogen: hedjohannesört (VU, §8), spillkråka (NT, §4), talltita (NT, §4), vanlig groda (§6),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