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dokument behandlar höga naturvärden i avverkningsanmälan A 19676-2024 i Uddevalla kommun som inkom 2024-05-20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ask (EN), gråblå skinnlav (VU), entita (NT, T, §4), gullpudra (NT, T), nästrot (S, §8), slanklav (S, T), vätteros (S, T), blåsippa (T, §9), skogsbingel (T) och vitsippa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2"/>
      </w:pPr>
      <w:r>
        <w:t>Fridlysta arter</w:t>
      </w:r>
    </w:p>
    <w:p>
      <w:r>
        <w:t>Följande fridlysta arter har sina livsmiljöer och växtplatser i den avverkningsanmälda skogen: entita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Vitsippa</w:t>
      </w:r>
      <w:r>
        <w:t xml:space="preserve"> är typisk art för </w:t>
      </w:r>
      <w:r>
        <w:rPr>
          <w:i/>
        </w:rPr>
        <w:t xml:space="preserve">9040 Fjällbjörkskog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