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62051-2024 i Uddevalla kommun</w:t>
      </w:r>
    </w:p>
    <w:p>
      <w:r>
        <w:t>Detta dokument behandlar höga naturvärden i avverkningsanmälan A 62051-2024 i Uddevalla kommun som inkom 2024-12-30 och omfattar 5,5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104742" cy="5688000"/>
            <wp:docPr id="1" name="Picture 1"/>
            <wp:cNvGraphicFramePr>
              <a:graphicFrameLocks noChangeAspect="1"/>
            </wp:cNvGraphicFramePr>
            <a:graphic>
              <a:graphicData uri="http://schemas.openxmlformats.org/drawingml/2006/picture">
                <pic:pic>
                  <pic:nvPicPr>
                    <pic:cNvPr id="0" name="A 62051-2024 karta.png"/>
                    <pic:cNvPicPr/>
                  </pic:nvPicPr>
                  <pic:blipFill>
                    <a:blip r:embed="rId16"/>
                    <a:stretch>
                      <a:fillRect/>
                    </a:stretch>
                  </pic:blipFill>
                  <pic:spPr>
                    <a:xfrm>
                      <a:off x="0" y="0"/>
                      <a:ext cx="4104742"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6469893, E 321372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duvhök (NT, §4), talltita (NT, §4), blåmossa (S, T), västlig hakmossa (S), kransmossa (T) och spillkråka (T, §4).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duvhök (NT, §4), talltita (NT,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