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21 naturvårdsarter, varav 5 är rödlistade, 11 är fridlysta, 4 är typiska (T) och 7 är signalarter (S): granbronssopp (VU), hasselsnok (VU, §4a), motaggsvamp (NT, T), rödvingetrast (NT, §4), Elaphomyces nemoreus (DD), blanksvart trämyra (S), blomkålssvamp (S), huvudlik svampklubba (S), kambräken (S, T), stubbspretmossa (S, T), toppvaxing (S), zontaggsvamp (S), spillkråka (T, §4),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