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58626-2024 i Uddevalla kommun</w:t>
      </w:r>
    </w:p>
    <w:p>
      <w:r>
        <w:t>Detta dokument behandlar höga naturvärden i avverkningsanmälan A 58626-2024 i Uddevalla kommun. Denna avverkningsanmälan inkom 2024-12-09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lundvårlök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0819"/>
            <wp:docPr id="1" name="Picture 1"/>
            <wp:cNvGraphicFramePr>
              <a:graphicFrameLocks noChangeAspect="1"/>
            </wp:cNvGraphicFramePr>
            <a:graphic>
              <a:graphicData uri="http://schemas.openxmlformats.org/drawingml/2006/picture">
                <pic:pic>
                  <pic:nvPicPr>
                    <pic:cNvPr id="0" name="A 58626-2024 karta.png"/>
                    <pic:cNvPicPr/>
                  </pic:nvPicPr>
                  <pic:blipFill>
                    <a:blip r:embed="rId16"/>
                    <a:stretch>
                      <a:fillRect/>
                    </a:stretch>
                  </pic:blipFill>
                  <pic:spPr>
                    <a:xfrm>
                      <a:off x="0" y="0"/>
                      <a:ext cx="5486400" cy="4660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6459900, E 318981 i SWEREF 99 TM.</w:t>
      </w:r>
    </w:p>
    <w:p>
      <w:r>
        <w:rPr>
          <w:b/>
        </w:rPr>
        <w:t>Lundvårlök</w:t>
      </w:r>
      <w:r>
        <w:t xml:space="preserve"> visar på skyddsvärda ädellövskogar och lundar, men också på örtrika alkärr och andra lövskogsmiljöer med höga naturvärden. Många av dagens förekomster har en tydlig reliktkaraktär och är troligen mycket gamla kvarlevor från en tid då ädellövskogen hade större utbredning under den postglaciala värmetiden (stenålder-bronsåler)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