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2065-2024 i Uddeval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