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35895-2026 i Uddevalla kommun</w:t>
      </w:r>
    </w:p>
    <w:p>
      <w:r>
        <w:t>Denna tillsynsbegäran behandlar höga naturvärden i avverkningsanmälan A 35895-2026 i Uddevalla kommun som inkom 2026-09-01 och omfattar 1,6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35895-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6458190, E 317385 i SWEREF 99 TM.</w:t>
      </w:r>
    </w:p>
    <w:p>
      <w:r>
        <w:t>I och inom 25 meter från avverkningsanmälan finns fynd av 22 naturvårdsarter, varav 5 är rödlistade, 11 är fridlysta, 5 är typiska (T) och 7 är signalarter (S): granbronssopp (VU), hasselsnok (VU, §4a), motaggsvamp (NT, T), rödvingetrast (NT, §4), Elaphomyces nemoreus (DD), blanksvart trämyra (S), blomkålssvamp (S), huvudlik svampklubba (S), kambräken (S, T), stubbspretmossa (S, T), toppvaxing (S), zontaggsvamp (S), spillkråka (T, §4), svavelticka (T), gröngöling (§4), grönsiska (§4), kråka (§4), kungsfågel (§4), svartvit flugsnappare (§4), vanlig groda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Granbronssopp (VU) </w:t>
      </w:r>
      <w:r>
        <w:t>är en relativt nyupptäckt art med första fynd i landet 2007. Lik bronssopp men helt knuten till gran i grandominerade, äldre och rikare skogar främst i sydvästra Sverige. Växer i s.k. "hot-spots" tillsammans med många andra krävande granberoende arter. Befaras ha minskat historiskt på grund av kalhyggesbruk. Minskningen fortgår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Elaphomyces nemoreus </w:t>
      </w:r>
      <w:r>
        <w:rPr>
          <w:b/>
        </w:rPr>
        <w:t>(DD)</w:t>
      </w:r>
      <w:r>
        <w:t xml:space="preserve"> är en ovanlig underjordisk svamp som bildar ektomykorrhiza med ek och bok i varma ädellövskogsmiljöer på kalk. Den beskrevs som ny art för vetenskapen 2020 och har visat sig förekomma här och var i södra Sverige och södra Norge. Faktaunderlaget bedöms vara otillräckligt för att avgöra vilken av de olika rödlistningskategorierna som är mest trolig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kambräken (S, T), stubbspretmossa (S, T), spillkråka (T, §4) och svavelticka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