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34058-2023 i Uddevalla kommun</w:t>
      </w:r>
    </w:p>
    <w:p>
      <w:r>
        <w:t>Denna tillsynsbegäran behandlar höga naturvärden i avverkningsanmälan A 34058-2023 i Uddevalla kommun som inkom 2023-07-28 och omfattar 1,3 ha.</w:t>
      </w:r>
    </w:p>
    <w:p>
      <w:pPr>
        <w:pStyle w:val="Caption"/>
      </w:pPr>
      <w:r>
        <w:drawing>
          <wp:inline xmlns:a="http://schemas.openxmlformats.org/drawingml/2006/main" xmlns:pic="http://schemas.openxmlformats.org/drawingml/2006/picture">
            <wp:extent cx="5486400" cy="5665509"/>
            <wp:docPr id="1" name="Picture 1"/>
            <wp:cNvGraphicFramePr>
              <a:graphicFrameLocks noChangeAspect="1"/>
            </wp:cNvGraphicFramePr>
            <a:graphic>
              <a:graphicData uri="http://schemas.openxmlformats.org/drawingml/2006/picture">
                <pic:pic>
                  <pic:nvPicPr>
                    <pic:cNvPr id="0" name="A 34058-2023 karta.png"/>
                    <pic:cNvPicPr/>
                  </pic:nvPicPr>
                  <pic:blipFill>
                    <a:blip r:embed="rId16"/>
                    <a:stretch>
                      <a:fillRect/>
                    </a:stretch>
                  </pic:blipFill>
                  <pic:spPr>
                    <a:xfrm>
                      <a:off x="0" y="0"/>
                      <a:ext cx="5486400" cy="566550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6458965, E 326864 i SWEREF 99 TM.</w:t>
      </w:r>
    </w:p>
    <w:p>
      <w:r>
        <w:t>Inom 21 meter från avverkningsanmälan finns fynd av 1 naturvårdsarter, varav 1 är rödlistad: lundvaxskivling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Lundvaxskivling (NT)</w:t>
      </w:r>
      <w:r>
        <w:t xml:space="preserve"> växer i luckig ek- och ädellövskog samt hagmark och löväng där den på örtrik mark bildar mykorrhiza med ek, ev. även med hassel och bok. Arten kan betraktas som en indikatorart för goda lövbiotoper och lokaler med rik förekomst av denna art har ett högt skyddsvärde och bör bevaras i oförändrat skick. Ekskogar och ädellövskogar med ek skall inte ersättas med annat trädslag och brukning bör ske med stor försiktighet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