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22584-2021 i Strömstads kommun</w:t>
      </w:r>
    </w:p>
    <w:p>
      <w:r>
        <w:t>Detta dokument behandlar höga naturvärden i avverkningsanmälan A 22584-2021 i Strömstads kommun. Denna avverkningsanmälan inkom 2021-05-11 00:00:00 och omfattar 4,9 ha.</w:t>
      </w:r>
    </w:p>
    <w:p>
      <w:r>
        <w:t>Nedan presenteras fynd av naturvårdsarter och fridlysta 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8 naturvårdsarter hittats: veckticka (NT), granbarkgnagare (S), korallblylav (S), stor revmossa (S), svart trolldruva (S), vätteros (S), blåsippa (§9) och revlummer (§9). Av dessa är 1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575812"/>
            <wp:docPr id="1" name="Picture 1"/>
            <wp:cNvGraphicFramePr>
              <a:graphicFrameLocks noChangeAspect="1"/>
            </wp:cNvGraphicFramePr>
            <a:graphic>
              <a:graphicData uri="http://schemas.openxmlformats.org/drawingml/2006/picture">
                <pic:pic>
                  <pic:nvPicPr>
                    <pic:cNvPr id="0" name="A 22584-2021 karta.png"/>
                    <pic:cNvPicPr/>
                  </pic:nvPicPr>
                  <pic:blipFill>
                    <a:blip r:embed="rId16"/>
                    <a:stretch>
                      <a:fillRect/>
                    </a:stretch>
                  </pic:blipFill>
                  <pic:spPr>
                    <a:xfrm>
                      <a:off x="0" y="0"/>
                      <a:ext cx="5486400" cy="4575812"/>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6551449, E 292383 i SWEREF 99 TM.</w:t>
      </w:r>
    </w:p>
    <w:p>
      <w:r>
        <w:rPr>
          <w:b/>
        </w:rPr>
        <w:t>Korallblylav</w:t>
      </w:r>
      <w:r>
        <w:t xml:space="preserve"> växer på bark av asp, ask, rönn, sälg, bok och lönn och signalerar överallt skogsbestånd med höga naturvärden och den följs nästan alltid av andra ovanliga och rödlistade arter. Den indikerar hög och jämn luftfuktighet och växer främst i områden med lång skoglig kontinuitet där det funnits ett ständigt inslag av gamla lövträd (SLU Artdatabanken, 2024; Nitare &amp; Skogsstyrelsen, 2019).</w:t>
      </w:r>
    </w:p>
    <w:p>
      <w:r>
        <w:rPr>
          <w:b/>
        </w:rPr>
        <w:t>Svart trolldruva</w:t>
      </w:r>
      <w:r>
        <w:t xml:space="preserve"> är en kalkgynnad växt som förekommer på näringsrik frisk mulljord i såväl bördiga kalkbarrskogar som sydliga kalklövskogar och lundar. Arten är en bra signalart för skyddsvärda biotoper i såväl löv- som barrskogar och tål inte slutavverkning och markberedning. Trolldruva är värdväxt för ett antal sällsynta fjärilsarter som ställer höga krav på sina livsmiljöer, däribland trolldruvemätare (EN), skuggmalmätare (VU) och trolldruvelobmätare (VU) (SLU Artdatabanken, 2024; Nitare &amp; Skogsstyrelsen, 2019).</w:t>
      </w:r>
    </w:p>
    <w:p>
      <w:r>
        <w:rPr>
          <w:b/>
        </w:rPr>
        <w:t>Veckticka (NT)</w:t>
      </w:r>
      <w:r>
        <w:t xml:space="preserve"> förekommer främst i äldre naturskogsartad löv- och blandskog i sena åldersstadier med gamla, döende och döda aspar. Avverkning eller gallring av aspbestånd är ett hot och aspskogar och asprika blandskogar måste bevaras i högre utsträckning än hittills. Sumpskog med asp och sälg har ett särskilt högt naturvärde och bör skyddas helt från skogsbruk (SLU Artdatabanken, 2024; Nitare &amp; Skogsstyrelsen, 2019).</w:t>
      </w:r>
    </w:p>
    <w:p>
      <w:pPr>
        <w:pStyle w:val="Heading1"/>
      </w:pPr>
      <w:r>
        <w:t>Fridlysta arter</w:t>
      </w:r>
    </w:p>
    <w:p>
      <w:r>
        <w:t>Följande fridlysta arter har sina livsmiljöer och växtplatser i den avverkningsanmälda skogen: blåsippa (§9) och revlummer (§9).</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8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2025-08-24</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