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skogsalm (CR), ask (EN), knärot (VU, §8), desmeknopp (NT), månlåsbräken (NT), slåtterfibbla (NT), spillkråka (NT, §4), talltita (NT, §4), tretåig hackspett (NT, §4), vårstarr (NT), honungsvaxing (S), svart trolldruva (S), kungsfågel (§4), tjäder (§4), blåsippa (§9) och gullviva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5838"/>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05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6528110, E 283473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1.08 ha med buffertzonerna och får av detta skäl inte avverkas.</w:t>
      </w:r>
    </w:p>
    <w:p>
      <w:pPr>
        <w:pStyle w:val="Caption"/>
      </w:pPr>
      <w:r>
        <w:drawing>
          <wp:inline xmlns:a="http://schemas.openxmlformats.org/drawingml/2006/main" xmlns:pic="http://schemas.openxmlformats.org/drawingml/2006/picture">
            <wp:extent cx="5486400" cy="4354566"/>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3545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6528110, E 283473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