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26,4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skogsalm (CR), ask (EN), knärot (VU, §8), desmeknopp (NT), månlåsbräken (NT), slåtterfibbla (NT), spillkråka (NT, §4), talltita (NT, §4), tretåig hackspett (NT, §4), vårstarr (NT), honungsvaxing (S), svart trolldruva (S), kungsfågel (§4), tjäder (§4), blåsippa (§9) och gullviva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5838"/>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05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6528110, E 283473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1.08 ha med buffertzonerna och får av detta skäl inte avverkas.</w:t>
      </w:r>
    </w:p>
    <w:p>
      <w:pPr>
        <w:pStyle w:val="Caption"/>
      </w:pPr>
      <w:r>
        <w:drawing>
          <wp:inline xmlns:a="http://schemas.openxmlformats.org/drawingml/2006/main" xmlns:pic="http://schemas.openxmlformats.org/drawingml/2006/picture">
            <wp:extent cx="5486400" cy="4354566"/>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3545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6528110, E 283473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