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som inkom 2024-04-15 och omfattar 2,8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