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18152-2022 i Vänersborgs kommun</w:t>
      </w:r>
    </w:p>
    <w:p>
      <w:r>
        <w:t>Detta klagomål behandlar höga naturvärden i avverkningsanmälan A 18152-2022 i Vänersborgs kommun som inkom 2022-05-03 och omfattar 1,5 ha.</w:t>
      </w:r>
    </w:p>
    <w:p>
      <w:pPr>
        <w:pStyle w:val="Caption"/>
      </w:pPr>
      <w:r>
        <w:drawing>
          <wp:inline xmlns:a="http://schemas.openxmlformats.org/drawingml/2006/main" xmlns:pic="http://schemas.openxmlformats.org/drawingml/2006/picture">
            <wp:extent cx="5486400" cy="4720705"/>
            <wp:docPr id="1" name="Picture 1"/>
            <wp:cNvGraphicFramePr>
              <a:graphicFrameLocks noChangeAspect="1"/>
            </wp:cNvGraphicFramePr>
            <a:graphic>
              <a:graphicData uri="http://schemas.openxmlformats.org/drawingml/2006/picture">
                <pic:pic>
                  <pic:nvPicPr>
                    <pic:cNvPr id="0" name="A 18152-2022 karta.png"/>
                    <pic:cNvPicPr/>
                  </pic:nvPicPr>
                  <pic:blipFill>
                    <a:blip r:embed="rId16"/>
                    <a:stretch>
                      <a:fillRect/>
                    </a:stretch>
                  </pic:blipFill>
                  <pic:spPr>
                    <a:xfrm>
                      <a:off x="0" y="0"/>
                      <a:ext cx="5486400" cy="472070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6497032, E 335607 i SWEREF 99 TM.</w:t>
      </w:r>
    </w:p>
    <w:p>
      <w:r>
        <w:t>I avverkningsanmälan finns fynd av 3 naturvårdsarter, varav 3 är rödlistade och 3 är typiska (T): skogssvingel (NT, T), slåtterfibbla (NT, T) och sårläka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Skogssvingel (NT) </w:t>
      </w:r>
      <w:r>
        <w:t xml:space="preserve">är ett sällsynt och exklusivt lundgräs som växer i bokskog, granskog och ädellövskog. Den hittas framför allt i gamla naturskogar med långvarig kontinuitet och hög luftfuktighet. Samtliga förekomster har idag reliktkaraktär och är troligen mycket gamla och arten är placerad högst upp i Skogsstyrelsens värdepyramid för bedömning av skog med höga naturvärden. Arten är mycket känslig för skogsbruk och samtliga lokaler bör skyddas. Skogssvingel är typisk art för </w:t>
      </w:r>
      <w:r>
        <w:rPr>
          <w:i/>
        </w:rPr>
        <w:t xml:space="preserve">9020 Nordlig ädellövskog </w:t>
      </w:r>
      <w:r>
        <w:t xml:space="preserve">och </w:t>
      </w:r>
      <w:r>
        <w:rPr>
          <w:i/>
        </w:rPr>
        <w:t>9180 Ädellövskog i branter</w:t>
      </w:r>
      <w:r>
        <w:rPr>
          <w:b/>
        </w:rPr>
        <w:t xml:space="preserve"> </w:t>
      </w:r>
      <w:r>
        <w:t>(SLU Artdatabanken, 2024; Nitare &amp; Skogsstyrelsen, 2019).</w:t>
      </w:r>
    </w:p>
    <w:p>
      <w:r>
        <w:rPr>
          <w:b/>
        </w:rPr>
        <w:t>Slåtterfibbla (NT)</w:t>
      </w:r>
      <w:r>
        <w:t xml:space="preserve"> är typisk art för </w:t>
      </w:r>
      <w:r>
        <w:rPr>
          <w:i/>
        </w:rPr>
        <w:t xml:space="preserve">9060 Åsbarrskog, 9070 Trädklädd betesmark, 6530 Lövängar, 1610 Åsöar i Östersjön, 6230 Stagg-gräsmarker, 6270 Silikatgräsmarker </w:t>
      </w:r>
      <w:r>
        <w:t>och</w:t>
      </w:r>
      <w:r>
        <w:rPr>
          <w:i/>
        </w:rPr>
        <w:t xml:space="preserve"> 6510 Slåtterängar i låglandet </w:t>
      </w:r>
      <w:r>
        <w:t>(SLU Artdatabanken, 2025).</w:t>
      </w:r>
    </w:p>
    <w:p>
      <w:r>
        <w:rPr>
          <w:b/>
        </w:rPr>
        <w:t>Sårläka (NT)</w:t>
      </w:r>
      <w:r>
        <w:t xml:space="preserve"> växer på mullrik mark i skuggiga eller halvskuggiga lövskogar och lundar men också i örtrika kalkbarrskogar. Arten ingår i en exklusiv lundflora som bara uppträder i de allra rikaste kalkbarrskogarna söder om den biologiska norrlandsgränsen. I ädellövskogar och lundar är den också knuten till områden med en mycket rik mångfald av naturvårdsarter. Enligt Riksskogstaxeringens data förefaller den ha minskat kraftigt (&gt;50%) vilket troligen kan förklaras av det storskaliga skogsbruket med kalhyggen. Sårläka är typisk art för </w:t>
      </w:r>
      <w:r>
        <w:rPr>
          <w:i/>
        </w:rPr>
        <w:t xml:space="preserve">9050 Näringsrik granskog, 9020 Nordlig ädellövskog, 9130 Näringsrik bokskog </w:t>
      </w:r>
      <w:r>
        <w:t xml:space="preserve">och </w:t>
      </w:r>
      <w:r>
        <w:rPr>
          <w:i/>
        </w:rPr>
        <w:t>9160 Näringsrik ekskog</w:t>
      </w:r>
      <w:r>
        <w:t xml:space="preserve"> samt värdväxt för den rödlistade fjärilen sårläkeplattmal (NT)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