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27924-2025 i Alingsås kommun</w:t>
      </w:r>
    </w:p>
    <w:p>
      <w:r>
        <w:t>Detta dokument behandlar höga naturvärden i avverkningsanmälan A 27924-2025 i Alingsås kommun. Denna avverkningsanmälan inkom 2025-06-09 11:44:50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blåmossa (S), kambräken (S) och äkta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9411"/>
            <wp:docPr id="1" name="Picture 1"/>
            <wp:cNvGraphicFramePr>
              <a:graphicFrameLocks noChangeAspect="1"/>
            </wp:cNvGraphicFramePr>
            <a:graphic>
              <a:graphicData uri="http://schemas.openxmlformats.org/drawingml/2006/picture">
                <pic:pic>
                  <pic:nvPicPr>
                    <pic:cNvPr id="0" name="A 27924-2025 karta.png"/>
                    <pic:cNvPicPr/>
                  </pic:nvPicPr>
                  <pic:blipFill>
                    <a:blip r:embed="rId16"/>
                    <a:stretch>
                      <a:fillRect/>
                    </a:stretch>
                  </pic:blipFill>
                  <pic:spPr>
                    <a:xfrm>
                      <a:off x="0" y="0"/>
                      <a:ext cx="5486400" cy="6749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6426123, E 344310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Fridlysta arter</w:t>
      </w:r>
    </w:p>
    <w:p>
      <w:r>
        <w:t>Följande fridlysta arter har sina livsmiljöer och växtplatser i den avverkningsanmälda skogen: spillkråka (NT, §4) och äkta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