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3527-2026 i Alingsås kommun</w:t>
      </w:r>
    </w:p>
    <w:p>
      <w:r>
        <w:t>Detta dokument behandlar höga naturvärden i avverkningsanmälan A 3527-2026 i Alingsås kommun. Denna avverkningsanmälan inkom 2026-01-20 14:35:45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grönfink (EN, §4), entita (NT, §4), gulsparv (NT, §4) och svartvit flugsnappare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2527"/>
            <wp:docPr id="1" name="Picture 1"/>
            <wp:cNvGraphicFramePr>
              <a:graphicFrameLocks noChangeAspect="1"/>
            </wp:cNvGraphicFramePr>
            <a:graphic>
              <a:graphicData uri="http://schemas.openxmlformats.org/drawingml/2006/picture">
                <pic:pic>
                  <pic:nvPicPr>
                    <pic:cNvPr id="0" name="A 3527-2026 karta.png"/>
                    <pic:cNvPicPr/>
                  </pic:nvPicPr>
                  <pic:blipFill>
                    <a:blip r:embed="rId16"/>
                    <a:stretch>
                      <a:fillRect/>
                    </a:stretch>
                  </pic:blipFill>
                  <pic:spPr>
                    <a:xfrm>
                      <a:off x="0" y="0"/>
                      <a:ext cx="5486400" cy="41225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6425532, E 357222 i SWEREF 99 TM.</w:t>
      </w:r>
    </w:p>
    <w:p>
      <w:pPr>
        <w:pStyle w:val="Heading1"/>
      </w:pPr>
      <w:r>
        <w:t>Fridlysta arter</w:t>
      </w:r>
    </w:p>
    <w:p>
      <w:r>
        <w:t>Följande fridlysta arter har sina livsmiljöer och växtplatser i den avverkningsanmälda skogen: grönfink (EN, §4), entita (NT, §4), gulsparv (NT, §4) och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