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56530-2023 i Alingsås kommun</w:t>
      </w:r>
    </w:p>
    <w:p>
      <w:r>
        <w:t>Detta klagomål behandlar höga naturvärden i avverkningsanmälan A 56530-2023 i Alingsås kommun som inkom 2023-11-13 och omfattar 2,4 ha.</w:t>
      </w:r>
    </w:p>
    <w:p>
      <w:pPr>
        <w:pStyle w:val="Caption"/>
      </w:pPr>
      <w:r>
        <w:drawing>
          <wp:inline xmlns:a="http://schemas.openxmlformats.org/drawingml/2006/main" xmlns:pic="http://schemas.openxmlformats.org/drawingml/2006/picture">
            <wp:extent cx="5389608" cy="5724000"/>
            <wp:docPr id="1" name="Picture 1"/>
            <wp:cNvGraphicFramePr>
              <a:graphicFrameLocks noChangeAspect="1"/>
            </wp:cNvGraphicFramePr>
            <a:graphic>
              <a:graphicData uri="http://schemas.openxmlformats.org/drawingml/2006/picture">
                <pic:pic>
                  <pic:nvPicPr>
                    <pic:cNvPr id="0" name="A 56530-2023 karta.png"/>
                    <pic:cNvPicPr/>
                  </pic:nvPicPr>
                  <pic:blipFill>
                    <a:blip r:embed="rId16"/>
                    <a:stretch>
                      <a:fillRect/>
                    </a:stretch>
                  </pic:blipFill>
                  <pic:spPr>
                    <a:xfrm>
                      <a:off x="0" y="0"/>
                      <a:ext cx="5389608"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6425408, E 356643 i SWEREF 99 TM.</w:t>
      </w:r>
    </w:p>
    <w:p>
      <w:r>
        <w:t>I och inom 24 meter från avverkningsanmälan finns fynd av 8 naturvårdsarter, varav 4 är rödlistade, 7 är fridlysta, 3 är typiska (T) och 1 är signalart (S): björktrast (NT, §4), entita (NT, T, §4), gulsparv (NT, §4), mindre hackspett (NT, T, §4), trubbfjädermossa (S, T), grönsiska (§4), svartvit flugsnappare (§4) och sävsparv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