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16935-2024 i Alingsås kommun</w:t>
      </w:r>
    </w:p>
    <w:p>
      <w:r>
        <w:t>Detta dokument behandlar höga naturvärden i avverkningsanmälan A 16935-2024 i Alingsås kommun. Denna avverkningsanmälan inkom 2024-04-29 och omfattar 3,6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knärot (VU, §8).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150137"/>
            <wp:docPr id="1" name="Picture 1"/>
            <wp:cNvGraphicFramePr>
              <a:graphicFrameLocks noChangeAspect="1"/>
            </wp:cNvGraphicFramePr>
            <a:graphic>
              <a:graphicData uri="http://schemas.openxmlformats.org/drawingml/2006/picture">
                <pic:pic>
                  <pic:nvPicPr>
                    <pic:cNvPr id="0" name="A 16935-2024 karta.png"/>
                    <pic:cNvPicPr/>
                  </pic:nvPicPr>
                  <pic:blipFill>
                    <a:blip r:embed="rId16"/>
                    <a:stretch>
                      <a:fillRect/>
                    </a:stretch>
                  </pic:blipFill>
                  <pic:spPr>
                    <a:xfrm>
                      <a:off x="0" y="0"/>
                      <a:ext cx="5486400" cy="5150137"/>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6436746, E 355383 i SWEREF 99 TM.</w:t>
      </w:r>
    </w:p>
    <w:p>
      <w:pPr>
        <w:pStyle w:val="Heading1"/>
      </w:pPr>
      <w:r>
        <w:t>Fridlysta arter</w:t>
      </w:r>
    </w:p>
    <w:p>
      <w:r>
        <w:t>Följande fridlysta arter har sina livsmiljöer och växtplatser i den avverkningsanmälda skogen: knärot (VU, §8).</w:t>
      </w:r>
    </w:p>
    <w:p>
      <w:r>
        <w:rPr>
          <w:b/>
        </w:rPr>
        <w:t>Knärot (VU, §8)</w:t>
      </w:r>
      <w:r>
        <w:t xml:space="preserve"> är rödlistad som sårbar (VU). För att knärot inte ska ta skada av skogsbruksåtgärder i intilliggande skog krävs buffertzoner på minst 50 meter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(SLU Artdatabanken, 2023).</w:t>
      </w:r>
    </w:p>
    <w:p>
      <w:r>
        <w:t>I det avverkningsanmälda området finns 1 fyndplatser för knärot registrerade på Artportalen. Figur 2 visar gränserna för buffertzoner på 50 m, som behöver lämnas kring fyndplatserna för att knärotslokalerna inte ska försvinna vid en avverkning. Av det avverkningsanmälda området överlappar 0.30 ha med buffertzonerna och får av detta skäl inte avverkas.</w:t>
      </w:r>
    </w:p>
    <w:p>
      <w:pPr>
        <w:pStyle w:val="Caption"/>
      </w:pPr>
      <w:r>
        <w:drawing>
          <wp:inline xmlns:a="http://schemas.openxmlformats.org/drawingml/2006/main" xmlns:pic="http://schemas.openxmlformats.org/drawingml/2006/picture">
            <wp:extent cx="5486400" cy="6263183"/>
            <wp:docPr id="2" name="Picture 2"/>
            <wp:cNvGraphicFramePr>
              <a:graphicFrameLocks noChangeAspect="1"/>
            </wp:cNvGraphicFramePr>
            <a:graphic>
              <a:graphicData uri="http://schemas.openxmlformats.org/drawingml/2006/picture">
                <pic:pic>
                  <pic:nvPicPr>
                    <pic:cNvPr id="0" name="A 16935-2024 karta knärot.png"/>
                    <pic:cNvPicPr/>
                  </pic:nvPicPr>
                  <pic:blipFill>
                    <a:blip r:embed="rId17"/>
                    <a:stretch>
                      <a:fillRect/>
                    </a:stretch>
                  </pic:blipFill>
                  <pic:spPr>
                    <a:xfrm>
                      <a:off x="0" y="0"/>
                      <a:ext cx="5486400" cy="6263183"/>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6436746, E 355383 i SWEREF 99 TM.</w:t>
      </w:r>
    </w:p>
    <w:p>
      <w:pPr>
        <w:pStyle w:val="Caption"/>
      </w:pP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2021).</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2025-07-07</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