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27391-2025 i Alingsås kommun</w:t>
      </w:r>
    </w:p>
    <w:p>
      <w:r>
        <w:t>Detta dokument behandlar höga naturvärden i avverkningsanmälan A 27391-2025 i Alingsås kommun. Denna avverkningsanmälan inkom 2025-06-04 16:22:51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avlång flatbagge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6571"/>
            <wp:docPr id="1" name="Picture 1"/>
            <wp:cNvGraphicFramePr>
              <a:graphicFrameLocks noChangeAspect="1"/>
            </wp:cNvGraphicFramePr>
            <a:graphic>
              <a:graphicData uri="http://schemas.openxmlformats.org/drawingml/2006/picture">
                <pic:pic>
                  <pic:nvPicPr>
                    <pic:cNvPr id="0" name="A 27391-2025 karta.png"/>
                    <pic:cNvPicPr/>
                  </pic:nvPicPr>
                  <pic:blipFill>
                    <a:blip r:embed="rId16"/>
                    <a:stretch>
                      <a:fillRect/>
                    </a:stretch>
                  </pic:blipFill>
                  <pic:spPr>
                    <a:xfrm>
                      <a:off x="0" y="0"/>
                      <a:ext cx="5486400" cy="3866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6428065, E 345177 i SWEREF 99 TM.</w:t>
      </w:r>
    </w:p>
    <w:p>
      <w:r>
        <w:rPr>
          <w:b/>
        </w:rPr>
        <w:t xml:space="preserve">Avlång flatbagge </w:t>
      </w:r>
      <w:r>
        <w:t>är en skalbagge vars larvutveckling sker i vitrötad, mycelhaltig ved av flera trädslag, främst ek, bok, alm, lind, asp och ask, men även tall. Gärna under tjock skorpbark som sitter kvar länge, såsom på gamla ek- och tallstammar. Den förekommer främst i äldre skogsområden med naturskogskaraktär eller kulturmarker med hög andel gamla träd, t.ex. hagmarker med grova ekar.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