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4104-2023 i Alingsås kommun</w:t>
      </w:r>
    </w:p>
    <w:p>
      <w:r>
        <w:t>Detta klagomål behandlar höga naturvärden i samrådsanmälan S 4104-2023 i Alingsås kommun som inkom 2023-11-19 och omfattar 0,9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S 4104-2023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6410573, E 354890 i SWEREF 99 TM.</w:t>
      </w:r>
    </w:p>
    <w:p>
      <w:r>
        <w:t>I och inom 6 meter från samrådsanmälan finns fynd av 8 naturvårdsarter, varav 4 är rödlistade, 5 är typiska (T) och 4 är signalarter (S): ask (EN), klosterlav (VU), grynig filtlav (NT, T), sydlig blekspik (NT, T), dvärgtufs (S), fällmossa (S, T), guldlockmossa (S,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Sydlig blekspik (NT)</w:t>
      </w:r>
      <w:r>
        <w:t xml:space="preserve"> förekommer i gammal bokskog, på hamlade träd, vårdträd och på gamla alléträd. Sydlig blekspik hotas av att gamla innanrötade träd i skogsmark blir allt sällsyntare och av att antalet hamlade träd minskar. Gamla bokskogar och hamlade ädellövträd nyskapas i mycket begränsad omfattning. Förekomster på alm hotas av almsjukan. Alla blekspikar av släktet </w:t>
      </w:r>
      <w:r>
        <w:rPr>
          <w:i/>
        </w:rPr>
        <w:t>Sclerophora</w:t>
      </w:r>
      <w:r>
        <w:t xml:space="preserve"> ​​​​är utmärkta signalarter för gamla träd och skogsområden med höga naturvärden. Sydlig blekspik är typisk art för </w:t>
      </w:r>
      <w:r>
        <w:rPr>
          <w:i/>
        </w:rPr>
        <w:t xml:space="preserve">9020 Nordlig ädellövskog, 9070 Trädklädd betesmark, 9180 Ädellövskog i branter </w:t>
      </w:r>
      <w:r>
        <w:t xml:space="preserve">och </w:t>
      </w:r>
      <w:r>
        <w:rPr>
          <w:i/>
        </w:rPr>
        <w:t>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