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23584-2024 i Alingsås kommun</w:t>
      </w:r>
    </w:p>
    <w:p>
      <w:r>
        <w:t>Detta dokument behandlar höga naturvärden i avverkningsanmälan A 23584-2024 i Alingsås kommun. Denna avverkningsanmälan inkom 2024-06-11 och omfattar 8,4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entita (NT, §4), grönsångare (NT, §4), mindre bastardsvärmare (NT), sexfläckig bastardsvärmare (NT), grönsiska (§4) och huggorm (§6).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5459"/>
            <wp:docPr id="1" name="Picture 1"/>
            <wp:cNvGraphicFramePr>
              <a:graphicFrameLocks noChangeAspect="1"/>
            </wp:cNvGraphicFramePr>
            <a:graphic>
              <a:graphicData uri="http://schemas.openxmlformats.org/drawingml/2006/picture">
                <pic:pic>
                  <pic:nvPicPr>
                    <pic:cNvPr id="0" name="A 23584-2024 karta.png"/>
                    <pic:cNvPicPr/>
                  </pic:nvPicPr>
                  <pic:blipFill>
                    <a:blip r:embed="rId16"/>
                    <a:stretch>
                      <a:fillRect/>
                    </a:stretch>
                  </pic:blipFill>
                  <pic:spPr>
                    <a:xfrm>
                      <a:off x="0" y="0"/>
                      <a:ext cx="5486400" cy="43054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6431404, E 348539 i SWEREF 99 TM.</w:t>
      </w:r>
    </w:p>
    <w:p>
      <w:pPr>
        <w:pStyle w:val="Heading1"/>
      </w:pPr>
      <w:r>
        <w:t>Fridlysta arter</w:t>
      </w:r>
    </w:p>
    <w:p>
      <w:r>
        <w:t>Följande fridlysta arter har sina livsmiljöer och växtplatser i den avverkningsanmälda skogen: entita (NT, §4), grönsångare (NT, §4), grönsiska (§4) och huggorm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