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27085-2024 i Borås kommun</w:t>
      </w:r>
    </w:p>
    <w:p>
      <w:r>
        <w:t>Detta klagomål behandlar höga naturvärden i avverkningsanmälan A 27085-2024 i Borås kommun som inkom 2024-06-28 och omfattar 14,4 ha.</w:t>
      </w:r>
    </w:p>
    <w:p>
      <w:pPr>
        <w:pStyle w:val="Caption"/>
      </w:pPr>
      <w:r>
        <w:drawing>
          <wp:inline xmlns:a="http://schemas.openxmlformats.org/drawingml/2006/main" xmlns:pic="http://schemas.openxmlformats.org/drawingml/2006/picture">
            <wp:extent cx="5486400" cy="5358195"/>
            <wp:docPr id="1" name="Picture 1"/>
            <wp:cNvGraphicFramePr>
              <a:graphicFrameLocks noChangeAspect="1"/>
            </wp:cNvGraphicFramePr>
            <a:graphic>
              <a:graphicData uri="http://schemas.openxmlformats.org/drawingml/2006/picture">
                <pic:pic>
                  <pic:nvPicPr>
                    <pic:cNvPr id="0" name="A 27085-2024 karta.png"/>
                    <pic:cNvPicPr/>
                  </pic:nvPicPr>
                  <pic:blipFill>
                    <a:blip r:embed="rId16"/>
                    <a:stretch>
                      <a:fillRect/>
                    </a:stretch>
                  </pic:blipFill>
                  <pic:spPr>
                    <a:xfrm>
                      <a:off x="0" y="0"/>
                      <a:ext cx="5486400" cy="5358195"/>
                    </a:xfrm>
                    <a:prstGeom prst="rect"/>
                  </pic:spPr>
                </pic:pic>
              </a:graphicData>
            </a:graphic>
          </wp:inline>
        </w:drawing>
      </w:r>
    </w:p>
    <w:p>
      <w:pPr>
        <w:pStyle w:val="Caption"/>
        <w:spacing w:after="240"/>
      </w:pPr>
      <w:r>
        <w:t>Figur 1. Fyndplatser för naturvårdsarter i och inom 24 meter från avverkningsanmälan. Markörer utan svart kant är placerade på fyndplatsen. Markörer med svart kant är placerade vid sidan av fyndplatsen och har ett svart streck som visar fyndplatsens exakta position. Kartans mittpunktskoordinat är N 6391631, E 376148 i SWEREF 99 TM.</w:t>
      </w:r>
    </w:p>
    <w:p>
      <w:r>
        <w:t>I och inom 24 meter från avverkningsanmälan finns fynd av 12 naturvårdsarter, varav 3 är rödlistade, 10 är fridlysta, 3 är typiska (T) och 2 är signalarter (S): gulsparv (NT, §4), järnsparv (NT, §4), sädesärla (NT, §4), bronshjon (S, T), klippfrullania (S, T), spillkråka (T, §4), buskskvätta (§4), grönsiska (§4), kråka (§4), kungsfågel (§4), trana (§4) och revlummer (§9).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Bronshjon</w:t>
      </w:r>
      <w:r>
        <w:t xml:space="preserve"> är en skalbagge vars larvutveckling sker under grov bark på stammar av döda eller döende barrträd, främst gran, i mindre omfattning tall. Arten är knuten till äldre, naturskogslik granskog med inslag av torkande träd. Bronshjon är typisk art för </w:t>
      </w:r>
      <w:r>
        <w:rPr>
          <w:i/>
        </w:rPr>
        <w:t>9010 Taiga</w:t>
      </w:r>
      <w:r>
        <w:t xml:space="preserve"> (SLU Artdatabanken, 2025).</w:t>
      </w:r>
    </w:p>
    <w:p>
      <w:r>
        <w:rPr>
          <w:b/>
        </w:rPr>
        <w:t>Klippfrullania</w:t>
      </w:r>
      <w:r>
        <w:t xml:space="preserve"> är i centrala, östra och norra Sverige en bra signalart. Den påträffas där i skyddsvärda skogsmiljöer med lång kontinuitet av gamla träd i halvöppen terräng, samt trädklädda bergbranter med ett mikroklimat som har konstant hög och jämn luftfuktighet året om. Klippfrullania är typisk art för </w:t>
      </w:r>
      <w:r>
        <w:rPr>
          <w:i/>
        </w:rPr>
        <w:t xml:space="preserve">9020 Nordlig ädellövskog, 9110 Näringsfattig bokskog, 9130 Näringsrik bokskog, 9160 Näringsrik ekskog, 9180 Ädellövskog i branter </w:t>
      </w:r>
      <w:r>
        <w:t xml:space="preserve">och </w:t>
      </w:r>
      <w:r>
        <w:rPr>
          <w:i/>
        </w:rPr>
        <w:t xml:space="preserve">9190 Näringsfattig ekskog </w:t>
      </w:r>
      <w:r>
        <w:t>(Nitare &amp; Skogsstyrelsen, 2019; SLU Artdatabanken, 2025).</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12 naturvårdsarter varav 3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2026-10-31</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