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43837-2023 i Borås kommun</w:t>
      </w:r>
    </w:p>
    <w:p>
      <w:r>
        <w:t>Detta klagomål behandlar höga naturvärden i avverkningsanmälan A 43837-2023 i Borås kommun som inkom 2023-09-18 och omfattar 0,5 ha.</w:t>
      </w:r>
    </w:p>
    <w:p>
      <w:pPr>
        <w:pStyle w:val="Caption"/>
      </w:pPr>
      <w:r>
        <w:drawing>
          <wp:inline xmlns:a="http://schemas.openxmlformats.org/drawingml/2006/main" xmlns:pic="http://schemas.openxmlformats.org/drawingml/2006/picture">
            <wp:extent cx="5457680" cy="5724000"/>
            <wp:docPr id="1" name="Picture 1"/>
            <wp:cNvGraphicFramePr>
              <a:graphicFrameLocks noChangeAspect="1"/>
            </wp:cNvGraphicFramePr>
            <a:graphic>
              <a:graphicData uri="http://schemas.openxmlformats.org/drawingml/2006/picture">
                <pic:pic>
                  <pic:nvPicPr>
                    <pic:cNvPr id="0" name="A 43837-2023 karta.png"/>
                    <pic:cNvPicPr/>
                  </pic:nvPicPr>
                  <pic:blipFill>
                    <a:blip r:embed="rId16"/>
                    <a:stretch>
                      <a:fillRect/>
                    </a:stretch>
                  </pic:blipFill>
                  <pic:spPr>
                    <a:xfrm>
                      <a:off x="0" y="0"/>
                      <a:ext cx="5457680" cy="5724000"/>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6415331, E 381719 i SWEREF 99 TM.</w:t>
      </w:r>
    </w:p>
    <w:p>
      <w:r>
        <w:t>Inom 21 meter från avverkningsanmälan finns fynd av 6 naturvårdsarter, varav 5 är rödlistade, 3 är typiska (T) och 1 är signalart (S): brödtaggsvamp (EN), sammetstaggsvamp (EN), grangråticka (VU, T), dofttaggsvamp (NT, T), dropptaggsvamp (NT, 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Brödtaggsvamp (EN) </w:t>
      </w:r>
      <w:r>
        <w:t>är en sällsynt och starkt hotad ”toppart” som växer i äldre barrskogar med gran, gärna i fuktiga sänkor eller skogar med hög luftfuktighet.  Svampen har en säregen doft som liknats vid lakrits, kakor eller pomerans. Den ingår i ett åtgärdsprogram för hotade arter (ÅGP) och är placerad högst upp i Skogsstyrelsens värdepyramid för bedömning av skog med höga naturvärden. Arten tål inte en slutavverkning utan kräver ett kontinuerligt äldre trädskikt med gran. Äldre barrskogar med basisk påverkan och lång kontinuitet, även små områden, har ett mycket högt skyddsvärde och bör i största möjliga utsträckning undantas från trakthyggesbruk. Slutavverkning, kraftig gallring och skogsmarksgödsling måste helt undvikas, liksom körning med tunga maskiner. Lokalerna bör bevakas, följas upp och skyddas formellt. Brödtaggsvamp är globalt rödlistad som nära hotad (NT) vilket innebär att Sverige har ett internationellt ansvar för arten (IUCN, 2025; SLU Artdatabanken, 2026; Nitare &amp; Skogsstyrelsen, 2019).</w:t>
      </w:r>
    </w:p>
    <w:p>
      <w:r>
        <w:rPr>
          <w:b/>
        </w:rPr>
        <w:t xml:space="preserve">Sammetstaggsvamp (EN) </w:t>
      </w:r>
      <w:r>
        <w:t>är en starkt hotad art som</w:t>
      </w:r>
      <w:r>
        <w:rPr>
          <w:b/>
        </w:rPr>
        <w:t xml:space="preserve"> </w:t>
      </w:r>
      <w:r>
        <w:t>bildar mykorrhiza med gran, i örtrik kalkgranskog eller annan bördig granskog av lågörtstyp. Arten ingår i ett åtgärdsprogram för hotade arter (ÅGP) och samtliga växtplatser måste undantas från storskaligt skogsbruk. Lokalerna bör bevakas, följas upp och skyddas formellt. För att på lång sikt öka artens möjligheter att överleva måste fler, äldre barrskogspartier på kalkrik mark skyddas. Sammetstaggsvamp är globalt rödlistad som sårbar (VU) och Sverige hyser sannolikt en stor andel av svampens hela europeiska population, vilket medför ett särskilt stort nationellt och internationellt ansvar för artens bevarande (IUCN, 2025; SLU Artdatabanken, 2026; Nitare &amp; Skogsstyrelsen, 2019; Nitare, 2006).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