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15507"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15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42 naturvårdsarter, varav 23 är rödlistade, 42 är fridlysta och 8 är typiska (T): hornuggla (EN, §4), storspov (EN, §4), grönfink (VU, §4), hussvala (VU, §4), stare (VU, §4), tornseglare (VU, §4), blåhake (NT, §4), duvhök (NT, §4), entita (NT, T, §4), grönsångare (NT, §4), gulsparv (NT, §4), göktyta (NT, §4), järnsparv (NT, §4), kungsörn (NT, §4), ladusvala (NT, §4), mindre hackspett (NT, T, §4), rosenfink (NT, §4), rödvingetrast (NT, §4), skrattmås (NT, §4), sparvuggla (NT, §4), svartsnäppa (NT, §4), sädesärla (NT, §4), talltita (NT, §4), bergfink (T, §4), nattskärra (T, §4), spillkråka (T, §4), stenfalk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bergfink (T, §4), nattskärra (T, §4), spillkråka (T, §4), stenfalk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