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Denna tillsynsbegäran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815507"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15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42 naturvårdsarter, varav 23 är rödlistade, 42 är fridlysta och 8 är typiska (T): hornuggla (EN, §4), storspov (EN, §4), grönfink (VU, §4), hussvala (VU, §4), stare (VU, §4), tornseglare (VU, §4), blåhake (NT, §4), duvhök (NT, §4), entita (NT, T, §4), grönsångare (NT, §4), gulsparv (NT, §4), göktyta (NT, §4), järnsparv (NT, §4), kungsörn (NT, §4), ladusvala (NT, §4), mindre hackspett (NT, T, §4), rosenfink (NT, §4), rödvingetrast (NT, §4), skrattmås (NT, §4), sparvuggla (NT, §4), svartsnäppa (NT, §4), sädesärla (NT, §4), talltita (NT, §4), bergfink (T, §4), nattskärra (T, §4), spillkråka (T, §4), stenfalk (T, §4), stjärtmes (T, §4), tofsmes (T, §4), fiskgjuse (§4), fjällvråk (§4), gröngöling (§4), grönsiska (§4), havsörn (§4), kråka (§4), kungsfågel (§4), smålom (§4), svartvit flugsnappare (§4), sångsvan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bergfink (T, §4), nattskärra (T, §4), spillkråka (T, §4), stenfalk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