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15507"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15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42 naturvårdsarter, varav 23 är rödlistade, 42 är fridlysta och 8 är typiska (T): hornuggla (EN, §4), storspov (EN, §4), grönfink (VU, §4), hussvala (VU, §4), stare (VU, §4), tornseglare (VU, §4), blåhake (NT, §4), duvhök (NT, §4), entita (NT, T, §4), grönsångare (NT, §4), gulsparv (NT, §4), göktyta (NT, §4), järnsparv (NT, §4), kungsörn (NT, §4), ladusvala (NT, §4), mindre hackspett (NT, T, §4), rosenfink (NT, §4), rödvingetrast (NT, §4), skrattmås (NT, §4), sparvuggla (NT, §4), svartsnäppa (NT, §4), sädesärla (NT, §4), talltita (NT, §4), bergfink (T, §4), nattskärra (T, §4), spillkråka (T, §4), stenfalk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