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46932-2020 i Mariestads kommun</w:t>
      </w:r>
    </w:p>
    <w:p>
      <w:r>
        <w:t>Detta dokument behandlar höga naturvärden i avverkningsanmälan A 46932-2020 i Mariestads kommun. Denna avverkningsanmälan inkom 2020-09-22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åkergroda (§4a), kopparödla (§6), mindre vattensalamander (§6), skogsödla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46932-2020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6511873, E 440552 i SWEREF 99 TM.</w:t>
      </w:r>
    </w:p>
    <w:p>
      <w:pPr>
        <w:pStyle w:val="Heading1"/>
      </w:pPr>
      <w:r>
        <w:t>Fridlysta arter</w:t>
      </w:r>
    </w:p>
    <w:p>
      <w:r>
        <w:t>Följande fridlysta arter har sina livsmiljöer och växtplatser i den avverkningsanmälda skogen: åkergroda (§4a), kopparödla (§6), mindre vattensalamander (§6), skogsödla (§6)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