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15052-2023 i Mariestads kommun</w:t>
      </w:r>
    </w:p>
    <w:p>
      <w:r>
        <w:t>Denna tillsynsbegäran behandlar höga naturvärden i avverkningsanmälan A 15052-2023 i Mariestads kommun som inkom 2023-03-30 och omfattar 15,0 ha.</w:t>
      </w:r>
    </w:p>
    <w:p>
      <w:pPr>
        <w:pStyle w:val="Caption"/>
      </w:pPr>
      <w:r>
        <w:drawing>
          <wp:inline xmlns:a="http://schemas.openxmlformats.org/drawingml/2006/main" xmlns:pic="http://schemas.openxmlformats.org/drawingml/2006/picture">
            <wp:extent cx="5486400" cy="4713402"/>
            <wp:docPr id="1" name="Picture 1"/>
            <wp:cNvGraphicFramePr>
              <a:graphicFrameLocks noChangeAspect="1"/>
            </wp:cNvGraphicFramePr>
            <a:graphic>
              <a:graphicData uri="http://schemas.openxmlformats.org/drawingml/2006/picture">
                <pic:pic>
                  <pic:nvPicPr>
                    <pic:cNvPr id="0" name="A 15052-2023 karta.png"/>
                    <pic:cNvPicPr/>
                  </pic:nvPicPr>
                  <pic:blipFill>
                    <a:blip r:embed="rId16"/>
                    <a:stretch>
                      <a:fillRect/>
                    </a:stretch>
                  </pic:blipFill>
                  <pic:spPr>
                    <a:xfrm>
                      <a:off x="0" y="0"/>
                      <a:ext cx="5486400" cy="471340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6509825, E 435708 i SWEREF 99 TM.</w:t>
      </w:r>
    </w:p>
    <w:p>
      <w:r>
        <w:t>Inom 18 meter från avverkningsanmälan finns fynd av 1 naturvårdsarter, varav 1 är rödlistad och 1 är fridlyst: bivråk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Bivråk (NT, §4)</w:t>
      </w:r>
      <w:r>
        <w:t xml:space="preserve"> ingår i bilaga 1 i EU:s fågeldirektiv och är prioriterad art i Skogsvårdslagen. Den har minskat med 2/3-delar sedan 1970-talet och under de senaste 30 åren har minskningstakten uppgått till 22.5 (15–30) %. Arten häckar i tät, ogallrad skog på högproduktiv mark, i södra Sverige främst i lövskogsrika trakter, i Norrland till stor del i högproduktiv granskog, Födan består av getinglarver och -puppor, men även av fågelungar och groddjur. Bivråken påverkas negativt av avverkning och omföring av lövträdsrika marker till täta produktionsskogar av barrträd samt av den allmänna "</w:t>
      </w:r>
      <w:r>
        <w:rPr>
          <w:i/>
        </w:rPr>
        <w:t>förtorkningen</w:t>
      </w:r>
      <w:r>
        <w:t>" av landskapet genom täckdikning, dikning av skogsmark etc. 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Minskningstakten för den svenska populationen bedöms vara nära gränsvärdet för Sårbar (VU)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Bivråk – ekologi samt krav på livsmiljön</w:t>
      </w:r>
    </w:p>
    <w:p>
      <w:r>
        <w:t>Bivråk (NT, §4) ingår i bilaga 1 i EU:s fågeldirektiv och är prioriterad art i Skogsvårdslagen. Den har minskat med 2/3-delar sedan 1970-talet och under de senaste 30 åren har minskningstakten uppgått till 22.5 (15–30) %. Minskningstakten för den svenska populationen bedöms vara nära gränsvärdet för Sårbar (VU) (SLU Artdatabanken, 2026).</w:t>
      </w:r>
    </w:p>
    <w:p>
      <w:r>
        <w:t>Arten häckar i tät, ogallrad skog på högproduktiv mark, i södra Sverige främst i lövskogsrika trakter, i Norrland till stor del i högproduktiv granskog, Födan består av getinglarver och -puppor, men även av fågelungar och groddjur. (SLU Artdatabanken, 2026).</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w:t>
      </w:r>
      <w:r>
        <w:rPr>
          <w:i/>
        </w:rPr>
        <w:t>förtorkning</w:t>
      </w:r>
      <w:r>
        <w:t>"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2026).</w:t>
      </w:r>
    </w:p>
    <w:p>
      <w:r>
        <w:t>Bevara lövskogar och öka andelen löv i barrskog. Gallra inte i onödan och inte alls i sumpskog. Dika inte ut vattensamlingar, sumpskogar, alkärr eller andra våta miljöer. Kring alla boplatser ska det lämnas en skyddszon vid avverkning eller andra skogliga åtgärder. Som tumregel ska skyddszonen vara så bred att boet inte syns väl från öppen mark (SLU Artdatabanken, 2026; Skogsstyrelsen, 2016).</w:t>
      </w:r>
    </w:p>
    <w:p>
      <w:pPr>
        <w:pStyle w:val="Heading2"/>
      </w:pPr>
      <w:r>
        <w:t>Referenser – bivråk</w:t>
      </w:r>
    </w:p>
    <w:p>
      <w:r>
        <w:t xml:space="preserve">Skogsstyrelsen, 2016. </w:t>
      </w:r>
      <w:r>
        <w:rPr>
          <w:i/>
        </w:rPr>
        <w:t>Vägledning för hänsyn till bivråk.</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