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dokument behandlar höga naturvärden i avverkningsanmälan A 62335-2025 i Lidköpings kommun som inkom 2025-12-15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10 naturvårdsarter hittats: gråtrut (VU, §4), stare (VU, §4), tofsvipa (VU, §4), björktrast (NT, §4), gråhakedopping (NT, §4), kricka (NT, §4), skrattmås (NT, §4), kråka (§4), röd glada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6482974, E 395324 i SWEREF 99 TM.</w:t>
      </w:r>
    </w:p>
    <w:p>
      <w:pPr>
        <w:pStyle w:val="Heading2"/>
      </w:pPr>
      <w:r>
        <w:t>Fridlysta arter</w:t>
      </w:r>
    </w:p>
    <w:p>
      <w:r>
        <w:t>Följande fridlysta arter har sina livsmiljöer och växtplatser i den avverkningsanmälda skogen: gråtrut (VU, §4), stare (VU, §4), tofsvipa (VU, §4), björktrast (NT, §4), gråhakedopping (NT, §4), kricka (NT, §4), skrattmås (NT, §4), kråka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