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15219-2024 i Lidköpings kommun</w:t>
      </w:r>
    </w:p>
    <w:p>
      <w:r>
        <w:t>Detta klagomål behandlar höga naturvärden i avverkningsanmälan A 15219-2024 i Lidköpings kommun som inkom 2024-04-18 och omfattar 6,7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15219-2024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6484239, E 398287 i SWEREF 99 TM.</w:t>
      </w:r>
    </w:p>
    <w:p>
      <w:r>
        <w:t>I avverkningsanmälan finns fynd av 3 naturvårdsarter, varav 2 är rödlistade, 1 är fridlyst och 1 är typisk (T): tallticka (NT, T), tårkragskivling (NT)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Tårkragskivling (NT) </w:t>
      </w:r>
      <w:r>
        <w:t>är knuten till stående levande eller döda aspar, ibland andra trädslag som alm och gran i äldre skogsbestånd med obruten kontinuitet av gamla aspar. Avverkning och gallring som missgynnar asp är ett hot mot arten. Lokaler där svampen är funnen måste skyddas eller brukas med iakttagande av artens behov. För att säkra artens fortbestånd i landet måste asp gynnas och bestånd av asp i raviner, branter och skogsbryn lämnas till fri utveckling. Likaså bör fler bestånd där alm ingår undantas från skogsbruk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