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8807-2022 i Skara kommun</w:t>
      </w:r>
    </w:p>
    <w:p>
      <w:r>
        <w:t>Detta dokument behandlar höga naturvärden i avverkningsanmälan A 8807-2022 i Skara kommun. Denna avverkningsanmälan inkom 2022-02-22 00:00:00 och omfattar 8,9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brandticka (S), grovticka (S) och revlummer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60545"/>
            <wp:docPr id="1" name="Picture 1"/>
            <wp:cNvGraphicFramePr>
              <a:graphicFrameLocks noChangeAspect="1"/>
            </wp:cNvGraphicFramePr>
            <a:graphic>
              <a:graphicData uri="http://schemas.openxmlformats.org/drawingml/2006/picture">
                <pic:pic>
                  <pic:nvPicPr>
                    <pic:cNvPr id="0" name="A 8807-2022 karta.png"/>
                    <pic:cNvPicPr/>
                  </pic:nvPicPr>
                  <pic:blipFill>
                    <a:blip r:embed="rId16"/>
                    <a:stretch>
                      <a:fillRect/>
                    </a:stretch>
                  </pic:blipFill>
                  <pic:spPr>
                    <a:xfrm>
                      <a:off x="0" y="0"/>
                      <a:ext cx="5486400" cy="426054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6475033, E 409349 i SWEREF 99 TM.</w:t>
      </w:r>
    </w:p>
    <w:p>
      <w:r>
        <w:rPr>
          <w:b/>
        </w:rPr>
        <w:t>Grovticka</w:t>
      </w:r>
      <w:r>
        <w:t xml:space="preserve"> är i skogslandskapet främst knuten till naturskogsartad äldre barrskog. Den är där en värdefull ”gammelskogsindikator” och påträffas mest vid tallar som är över 200 år gamla (Nitare &amp; Skogsstyrelsen, 2019).</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