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16179-2025 i Skara kommun</w:t>
      </w:r>
    </w:p>
    <w:p>
      <w:r>
        <w:t>Denna tillsynsbegäran behandlar höga naturvärden i avverkningsanmälan A 16179-2025 i Skara kommun som inkom 2025-04-03 och omfattar 7,4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16179-2025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6477135, E 423652 i SWEREF 99 TM.</w:t>
      </w:r>
    </w:p>
    <w:p>
      <w:r>
        <w:t>I och inom 23 meter från avverkningsanmälan finns fynd av 5 naturvårdsarter, varav 2 är rödlistade, 2 är fridlysta, 2 är typiska (T) och 2 är signalarter (S): rosenfink (NT, §4), ädelguldbagge (NT), hässleklocka (S, T), lundbräsma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Hässleklocka </w:t>
      </w:r>
      <w:r>
        <w:t xml:space="preserve">är typisk art för </w:t>
      </w:r>
      <w:r>
        <w:rPr>
          <w:i/>
        </w:rPr>
        <w:t xml:space="preserve">9020 Nordlig ädellövskog </w:t>
      </w:r>
      <w:r>
        <w:t xml:space="preserve">och </w:t>
      </w:r>
      <w:r>
        <w:rPr>
          <w:i/>
        </w:rPr>
        <w:t xml:space="preserve">9180 Ädellövskog i branter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