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20980-2024 i Skara kommun</w:t>
      </w:r>
    </w:p>
    <w:p>
      <w:r>
        <w:t>Detta dokument behandlar höga naturvärden i avverkningsanmälan A 20980-2024 i Skara kommun. Denna avverkningsanmälan inkom 2024-05-27 och omfattar 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skogsalm (CR), svart trolldruva (S), tvåblad (S, §8), ögonpyrola (S), grönvit nattviol (§8)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6673"/>
            <wp:docPr id="1" name="Picture 1"/>
            <wp:cNvGraphicFramePr>
              <a:graphicFrameLocks noChangeAspect="1"/>
            </wp:cNvGraphicFramePr>
            <a:graphic>
              <a:graphicData uri="http://schemas.openxmlformats.org/drawingml/2006/picture">
                <pic:pic>
                  <pic:nvPicPr>
                    <pic:cNvPr id="0" name="A 20980-2024 karta.png"/>
                    <pic:cNvPicPr/>
                  </pic:nvPicPr>
                  <pic:blipFill>
                    <a:blip r:embed="rId16"/>
                    <a:stretch>
                      <a:fillRect/>
                    </a:stretch>
                  </pic:blipFill>
                  <pic:spPr>
                    <a:xfrm>
                      <a:off x="0" y="0"/>
                      <a:ext cx="5486400" cy="43266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6477351, E 424477 i SWEREF 99 TM.</w:t>
      </w:r>
    </w:p>
    <w:p>
      <w:pPr>
        <w:pStyle w:val="Heading1"/>
      </w:pPr>
      <w:r>
        <w:t>Fridlysta arter</w:t>
      </w:r>
    </w:p>
    <w:p>
      <w:r>
        <w:t>Följande fridlysta arter har sina livsmiljöer och växtplatser i den avverkningsanmälda skogen: tvåblad (S, §8), grönvit nattviol (§8) och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