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klagomål behandlar höga naturvärden i avverkningsanmälan A 7276-2025 i Skövde kommun som inkom 2025-02-14 och omfattar 0,6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6481038, E 424592 i SWEREF 99 TM.</w:t>
      </w:r>
    </w:p>
    <w:p>
      <w:r>
        <w:t>I och inom 12 meter från avverkningsanmälan finns fynd av 7 naturvårdsarter, varav 4 är rödlistade och 3 är signalarter (S): bitter taggsvamp (EN), pilfibbla (EN), mjölfibbla (VU), piggfjällskivling (VU), kastanjefjällskivling (S), lundbräsma (S) och lundfjällskivling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Piggfjällskivling (VU) </w:t>
      </w:r>
      <w:r>
        <w:t>är en mycket sällsynt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För att gynna arten måste skogsbruket i de ofta mycket skyddsvärda, näringsrika skogarna på kalkmark i södra Sverige bedrivas med stor aktsamhet och de få lokaler som är kända skyddas. Piggfjällskivling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