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28323-2026 i Skövde kommun</w:t>
      </w:r>
    </w:p>
    <w:p>
      <w:r>
        <w:t>Detta klagomål behandlar höga naturvärden i avverkningsanmälan A 28323-2026 i Skövde kommun som inkom 2026-06-23 och omfattar 3,6 ha.</w:t>
      </w:r>
    </w:p>
    <w:p>
      <w:pPr>
        <w:pStyle w:val="Caption"/>
      </w:pPr>
      <w:r>
        <w:drawing>
          <wp:inline xmlns:a="http://schemas.openxmlformats.org/drawingml/2006/main" xmlns:pic="http://schemas.openxmlformats.org/drawingml/2006/picture">
            <wp:extent cx="5486400" cy="5122048"/>
            <wp:docPr id="1" name="Picture 1"/>
            <wp:cNvGraphicFramePr>
              <a:graphicFrameLocks noChangeAspect="1"/>
            </wp:cNvGraphicFramePr>
            <a:graphic>
              <a:graphicData uri="http://schemas.openxmlformats.org/drawingml/2006/picture">
                <pic:pic>
                  <pic:nvPicPr>
                    <pic:cNvPr id="0" name="A 28323-2026 karta.png"/>
                    <pic:cNvPicPr/>
                  </pic:nvPicPr>
                  <pic:blipFill>
                    <a:blip r:embed="rId16"/>
                    <a:stretch>
                      <a:fillRect/>
                    </a:stretch>
                  </pic:blipFill>
                  <pic:spPr>
                    <a:xfrm>
                      <a:off x="0" y="0"/>
                      <a:ext cx="5486400" cy="512204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6477878, E 433953 i SWEREF 99 TM.</w:t>
      </w:r>
    </w:p>
    <w:p>
      <w:r>
        <w:t>I och inom 25 meter från avverkningsanmälan finns fynd av 18 naturvårdsarter, varav 5 är rödlistade, 6 är fridlysta, 12 är typiska (T) och 9 är signalarter (S): ask (EN), gränsticka (VU, T), knärot (VU, T, §8), gransotdyna (NT), stor vårtrattskivling (NT), blåmossa (S, T), grön sköldmossa (S, T, §8), grönpyrola (S, T), kransrams (S, T), skogsknipprot (S, T, §8), stor revmossa (S), thomsons trägnagare (S), trådticka (S, T), vedticka (S, T), blåsippa (T, §9), spillkråka (T, §4), tandrot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21 fyndplatser för knärot registrerade på Artportalen. Figur 2 visar gränserna för buffertzoner på 50 m, som behöver lämnas kring fyndplatserna för att knärotslokalerna inte ska försvinna vid en avverkning. Av det avverkningsanmälda området överlappar 3.26 ha med buffertzonerna och får av detta skäl inte avverkas.</w:t>
      </w:r>
    </w:p>
    <w:p>
      <w:pPr>
        <w:pStyle w:val="Caption"/>
      </w:pPr>
      <w:r>
        <w:drawing>
          <wp:inline xmlns:a="http://schemas.openxmlformats.org/drawingml/2006/main" xmlns:pic="http://schemas.openxmlformats.org/drawingml/2006/picture">
            <wp:extent cx="5486400" cy="6674508"/>
            <wp:docPr id="2" name="Picture 2"/>
            <wp:cNvGraphicFramePr>
              <a:graphicFrameLocks noChangeAspect="1"/>
            </wp:cNvGraphicFramePr>
            <a:graphic>
              <a:graphicData uri="http://schemas.openxmlformats.org/drawingml/2006/picture">
                <pic:pic>
                  <pic:nvPicPr>
                    <pic:cNvPr id="0" name="A 28323-2026 karta knärot.png"/>
                    <pic:cNvPicPr/>
                  </pic:nvPicPr>
                  <pic:blipFill>
                    <a:blip r:embed="rId17"/>
                    <a:stretch>
                      <a:fillRect/>
                    </a:stretch>
                  </pic:blipFill>
                  <pic:spPr>
                    <a:xfrm>
                      <a:off x="0" y="0"/>
                      <a:ext cx="5486400" cy="667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6477878, E 433953 i SWEREF 99 TM.</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Kransrams</w:t>
      </w:r>
      <w:r>
        <w:t xml:space="preserve"> är typisk art för </w:t>
      </w:r>
      <w:r>
        <w:rPr>
          <w:i/>
        </w:rPr>
        <w:t xml:space="preserve">9020 Nordlig ädellövskog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