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20688-2022 i Skövde kommun</w:t>
      </w:r>
    </w:p>
    <w:p>
      <w:r>
        <w:t>Detta dokument behandlar höga naturvärden i avverkningsanmälan A 20688-2022 i Skövde kommun. Denna avverkningsanmälan inkom 2022-05-19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39 naturvårdsarter hittats: brandtaggsvamp (VU), grangråticka (VU), rodnande lutvaxing (VU), rodnande musseron (VU), barrviolspindling (NT), flattoppad klubbsvamp (NT), gul taggsvamp (NT), gullklöver (NT), kungsspindling (NT), ljusskivig lerskivling (NT), scharlakansvaxing (NT), stinklerskivling (NT), stor vårtrattskivling (NT), stäppröksvamp (NT), tårkragskivling (NT), blodvaxing (S), blå slemspindling (S), brun klibbskivling (S), diskvaxskivling (S), droppklibbskivling (S), fjällig taggsvamp s.str. (S), fransig jordstjärna (S), granatskivling (S), gråvaxing (S), guldkremla (S), gulgrön kantmusseron (S), gulvaxing (S), kastanjefjällskivling (S), kryddspindling (S), rävticka (S), rökmusseron (S), skarp dropptaggsvamp (S), sotriska (S), strimspindling (S), svart jordtunga (S), svavelriska (S), toppvaxing (S), vit vaxskivling (S) och zontaggsvamp (S). Av dessa är 15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20688-2022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6482260, E 425223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Brandtaggsvamp (VU) </w:t>
      </w:r>
      <w:r>
        <w:t>är en sällsynt art knuten till barrskogar på starkt kalkrik mark. Arten är placerad högst upp i Skogsstyrelsens värdepyramid för bedömning av skog med höga naturvärden och hotas främst av avverkning av kalkpåverkad barrskog. Äldre skog på kalkrik mark har ofta en rik flora av hotade svampar och är därför synnerligen skyddsvärda. Det är önskvärt att många, även små, områden med sådan kalkbarrskog skyddas i södra och mellersta Sverige (SLU Artdatabanken, 2024; Nitare &amp; Skogsstyrelsen, 2019).</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Rodnande musseron (VU)</w:t>
      </w:r>
      <w:r>
        <w:t xml:space="preserve"> är en mykorrhizasvamp i lövskog med ek och bok på näringsrik och kalkhaltig mark. Den förekommer både på halvöppen, betespräglad mark och i mer sluten skog. Karaktäristiskt för arten är att lamellerna och ibland även foten (särskilt basen) med tiden antar en karminröd ton, som ibland kan bli kraftig. Kända växtplatser i betesmark måste få fortsatt hävd och lokaler i sluten skog måste bevaras i oförändrat skick (SLU Artdatabanken, 2024).</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