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28323-2026 i Skövde kommun</w:t>
      </w:r>
    </w:p>
    <w:p>
      <w:r>
        <w:t>Denna tillsynsbegäran behandlar höga naturvärden i avverkningsanmälan A 28323-2026 i Skövde kommun som inkom 2026-06-23 och omfattar 3,6 ha.</w:t>
      </w:r>
    </w:p>
    <w:p>
      <w:pPr>
        <w:pStyle w:val="Caption"/>
      </w:pPr>
      <w:r>
        <w:drawing>
          <wp:inline xmlns:a="http://schemas.openxmlformats.org/drawingml/2006/main" xmlns:pic="http://schemas.openxmlformats.org/drawingml/2006/picture">
            <wp:extent cx="5486400" cy="5122048"/>
            <wp:docPr id="1" name="Picture 1"/>
            <wp:cNvGraphicFramePr>
              <a:graphicFrameLocks noChangeAspect="1"/>
            </wp:cNvGraphicFramePr>
            <a:graphic>
              <a:graphicData uri="http://schemas.openxmlformats.org/drawingml/2006/picture">
                <pic:pic>
                  <pic:nvPicPr>
                    <pic:cNvPr id="0" name="A 28323-2026 karta.png"/>
                    <pic:cNvPicPr/>
                  </pic:nvPicPr>
                  <pic:blipFill>
                    <a:blip r:embed="rId16"/>
                    <a:stretch>
                      <a:fillRect/>
                    </a:stretch>
                  </pic:blipFill>
                  <pic:spPr>
                    <a:xfrm>
                      <a:off x="0" y="0"/>
                      <a:ext cx="5486400" cy="5122048"/>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6477878, E 433953 i SWEREF 99 TM.</w:t>
      </w:r>
    </w:p>
    <w:p>
      <w:r>
        <w:t>I och inom 25 meter från avverkningsanmälan finns fynd av 18 naturvårdsarter, varav 5 är rödlistade, 6 är fridlysta, 12 är typiska (T) och 9 är signalarter (S): ask (EN), gränsticka (VU, T), knärot (VU, T, §8), gransotdyna (NT), stor vårtrattskivling (NT), blåmossa (S, T), grön sköldmossa (S, T, §8), grönpyrola (S, T), kransrams (S, T), skogsknipprot (S, T, §8), stor revmossa (S), thomsons trägnagare (S), trådticka (S, T), vedticka (S, T), blåsippa (T, §9), spillkråka (T, §4), tandrot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21 fyndplatser för knärot registrerade på Artportalen. Figur 2 visar gränserna för buffertzoner på 50 m, som behöver lämnas kring fyndplatserna för att knärotslokalerna inte ska försvinna vid en avverkning. Av det avverkningsanmälda området överlappar 3.26 ha med buffertzonerna och får av detta skäl inte avverkas.</w:t>
      </w:r>
    </w:p>
    <w:p>
      <w:pPr>
        <w:pStyle w:val="Caption"/>
      </w:pPr>
      <w:r>
        <w:drawing>
          <wp:inline xmlns:a="http://schemas.openxmlformats.org/drawingml/2006/main" xmlns:pic="http://schemas.openxmlformats.org/drawingml/2006/picture">
            <wp:extent cx="5486400" cy="6674508"/>
            <wp:docPr id="2" name="Picture 2"/>
            <wp:cNvGraphicFramePr>
              <a:graphicFrameLocks noChangeAspect="1"/>
            </wp:cNvGraphicFramePr>
            <a:graphic>
              <a:graphicData uri="http://schemas.openxmlformats.org/drawingml/2006/picture">
                <pic:pic>
                  <pic:nvPicPr>
                    <pic:cNvPr id="0" name="A 28323-2026 karta knärot.png"/>
                    <pic:cNvPicPr/>
                  </pic:nvPicPr>
                  <pic:blipFill>
                    <a:blip r:embed="rId17"/>
                    <a:stretch>
                      <a:fillRect/>
                    </a:stretch>
                  </pic:blipFill>
                  <pic:spPr>
                    <a:xfrm>
                      <a:off x="0" y="0"/>
                      <a:ext cx="5486400" cy="667450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6477878, E 433953 i SWEREF 99 TM.</w:t>
      </w:r>
    </w:p>
    <w:p>
      <w:r>
        <w:rPr>
          <w:b/>
        </w:rPr>
        <w:t>Gransotdyna (NT)</w:t>
      </w:r>
      <w:r>
        <w:t xml:space="preserve"> är en nedbrytare på grova, murkna, ofta barklösa stubbar och liggande stammar av gran, sällan även av bok. Den kräver tillgång till lågor och stubbar i frisk till fuktig miljö och är helt bunden till skogsbestånd med hög bonitet. Gransotdyna hotas av det intensiva utnyttjandet av granskogar med hög bonitet. Arten förekommer främst i de sydliga delarna av landet där bristen på äldre skog är mest påtaglig. Alla lokaler för arten måste undantas från rationellt skogsbruk och tillgången på död ved av grova dimensioner måste säkerställas. Fler områden med äldre granskog måste skyddas i södra Sverige (SLU Artdatabanken, 2024).</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Kransrams</w:t>
      </w:r>
      <w:r>
        <w:t xml:space="preserve"> är typisk art för </w:t>
      </w:r>
      <w:r>
        <w:rPr>
          <w:i/>
        </w:rPr>
        <w:t xml:space="preserve">9020 Nordlig ädellövskog </w:t>
      </w:r>
      <w:r>
        <w:t>(SLU Artdatabanken, 2025).</w:t>
      </w:r>
    </w:p>
    <w:p>
      <w:r>
        <w:rPr>
          <w:b/>
        </w:rPr>
        <w:t>Skogsknipprot (§8)</w:t>
      </w:r>
      <w:r>
        <w:t xml:space="preserve"> är fridlyst enligt 8§ artskyddsförordningen och typisk art för </w:t>
      </w:r>
      <w:r>
        <w:rPr>
          <w:i/>
        </w:rPr>
        <w:t>9050 Näringsrik granskog</w:t>
      </w:r>
      <w:r>
        <w:t xml:space="preserve">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 xml:space="preserve">Tandrot </w:t>
      </w:r>
      <w:r>
        <w:t xml:space="preserve">är typisk art för </w:t>
      </w:r>
      <w:r>
        <w:rPr>
          <w:i/>
        </w:rPr>
        <w:t xml:space="preserve">9020 Nordlig ädellövskog </w:t>
      </w:r>
      <w:r>
        <w:t>och</w:t>
      </w:r>
      <w:r>
        <w:rPr>
          <w:i/>
        </w:rPr>
        <w:t xml:space="preserve"> 9130 Näringsrik bokskog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gränsticka (VU, T), knärot (VU, T, §8), blåmossa (S, T), grön sköldmossa (S, T, §8), grönpyrola (S, T), kransrams (S, T), skogsknipprot (S, T, §8), trådticka (S, T), vedticka (S, T), blåsippa (T, §9), spillkråka (T, §4) och tandrot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