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815-2023 i Skövde kommun</w:t>
      </w:r>
    </w:p>
    <w:p>
      <w:r>
        <w:t>Denna tillsynsbegäran behandlar höga naturvärden i samrådsanmälan S 815-2023 i Skövde kommun som inkom 2023-03-01 och omfattar 74,5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10538234"/>
            <wp:docPr id="1" name="Picture 1"/>
            <wp:cNvGraphicFramePr>
              <a:graphicFrameLocks noChangeAspect="1"/>
            </wp:cNvGraphicFramePr>
            <a:graphic>
              <a:graphicData uri="http://schemas.openxmlformats.org/drawingml/2006/picture">
                <pic:pic>
                  <pic:nvPicPr>
                    <pic:cNvPr id="0" name="S 815-2023 karta knärot.png"/>
                    <pic:cNvPicPr/>
                  </pic:nvPicPr>
                  <pic:blipFill>
                    <a:blip r:embed="rId16"/>
                    <a:stretch>
                      <a:fillRect/>
                    </a:stretch>
                  </pic:blipFill>
                  <pic:spPr>
                    <a:xfrm>
                      <a:off x="0" y="0"/>
                      <a:ext cx="5486400" cy="105382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6480411, E 442559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