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47898-2023 i Skövde kommun</w:t>
      </w:r>
    </w:p>
    <w:p>
      <w:r>
        <w:t>Detta klagomål behandlar höga naturvärden i avverkningsanmälan A 47898-2023 i Skövde kommun som inkom 2023-10-05 och omfattar 9,5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47898-2023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6489425, E 423515 i SWEREF 99 TM.</w:t>
      </w:r>
    </w:p>
    <w:p>
      <w:r>
        <w:t>I avverkningsanmälan finns fynd av 1 naturvårdsarter, varav 1 är rödlistad: karminticka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Karminticka (VU)</w:t>
      </w:r>
      <w:r>
        <w:t xml:space="preserve"> växer i naturskogsartad gammal barrskog, främst i relativt tät tallskog eller barrblandskog på något produktiv mark, gärna i lägre terrängpartier med fuktig mark. En fortlöpande minskning av arten bedöms pågå p.g.a. krympande areal skogar med död ved av lämplig kvalitet. Karminticka är placerad högst upp i Skogsstyrelsens värdepyramid för bedömning av skog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