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20688-2022 i Skövde kommun</w:t>
      </w:r>
    </w:p>
    <w:p>
      <w:r>
        <w:t>Detta dokument behandlar höga naturvärden i avverkningsanmälan A 20688-2022 i Skövde kommun. Denna avverkningsanmälan inkom 2022-05-19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39 naturvårdsarter hittats: brandtaggsvamp (VU), grangråticka (VU), rodnande lutvaxing (VU), rodnande musseron (VU), barrviolspindling (NT), flattoppad klubbsvamp (NT), gul taggsvamp (NT), gullklöver (NT), kungsspindling (NT), ljusskivig lerskivling (NT), scharlakansvaxing (NT), stinklerskivling (NT), stor vårtrattskivling (NT), stäppröksvamp (NT), tårkragskivling (NT), blodvaxing (S), blå slemspindling (S), brun klibbskivling (S), diskvaxskivling (S), droppklibbskivling (S), fjällig taggsvamp s.str. (S), fransig jordstjärna (S), granatskivling (S), gråvaxing (S), guldkremla (S), gulgrön kantmusseron (S), gulvaxing (S), kastanjefjällskivling (S), kryddspindling (S), rävticka (S), rökmusseron (S), skarp dropptaggsvamp (S), sotriska (S), strimspindling (S), svart jordtunga (S), svavelriska (S), toppvaxing (S), vit vaxskivling (S) och zontaggsvamp (S). Av dessa är 15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20688-2022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6482260, E 425223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Rodnande musseron (VU)</w:t>
      </w:r>
      <w:r>
        <w:t xml:space="preserve"> är en mykorrhizasvamp i lövskog med ek och bok på näringsrik och kalkhaltig mark. Den förekommer både på halvöppen, betespräglad mark och i mer sluten skog. Karaktäristiskt för arten är att lamellerna och ibland även foten (särskilt basen) med tiden antar en karminröd ton, som ibland kan bli kraftig. Kända växtplatser i betesmark måste få fortsatt hävd och lokaler i sluten skog måste bevaras i oförändrat skick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