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19978-2026 i Skövde kommun</w:t>
      </w:r>
    </w:p>
    <w:p>
      <w:r>
        <w:t>Detta klagomål behandlar höga naturvärden i avverkningsanmälan A 19978-2026 i Skövde kommun som inkom 2026-04-24 och omfattar 9,6 ha.</w:t>
      </w:r>
    </w:p>
    <w:p>
      <w:pPr>
        <w:pStyle w:val="Caption"/>
      </w:pPr>
      <w:r>
        <w:drawing>
          <wp:inline xmlns:a="http://schemas.openxmlformats.org/drawingml/2006/main" xmlns:pic="http://schemas.openxmlformats.org/drawingml/2006/picture">
            <wp:extent cx="5409821" cy="5724000"/>
            <wp:docPr id="1" name="Picture 1"/>
            <wp:cNvGraphicFramePr>
              <a:graphicFrameLocks noChangeAspect="1"/>
            </wp:cNvGraphicFramePr>
            <a:graphic>
              <a:graphicData uri="http://schemas.openxmlformats.org/drawingml/2006/picture">
                <pic:pic>
                  <pic:nvPicPr>
                    <pic:cNvPr id="0" name="A 19978-2026 karta.png"/>
                    <pic:cNvPicPr/>
                  </pic:nvPicPr>
                  <pic:blipFill>
                    <a:blip r:embed="rId16"/>
                    <a:stretch>
                      <a:fillRect/>
                    </a:stretch>
                  </pic:blipFill>
                  <pic:spPr>
                    <a:xfrm>
                      <a:off x="0" y="0"/>
                      <a:ext cx="5409821" cy="5724000"/>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har ett svart streck som visar fyndplatsens exakta position. Kartans mittpunktskoordinat är N 6484568, E 431725 i SWEREF 99 TM.</w:t>
      </w:r>
    </w:p>
    <w:p>
      <w:r>
        <w:t>I och inom 18 meter från avverkningsanmälan finns fynd av 12 naturvårdsarter, varav 2 är rödlistade, 2 är fridlysta, 8 är typiska (T) och 2 är signalarter (S): ask (EN), lundvaxskivling (VU), brun purpurspindling (S), rävticka (S, T), blåsippa (T, §9), ekorrbär (T), kärrfibbla (T), mörk lungört (T), skogsbingel (T), storrams (T), tandrot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Lundvaxskivling (NT)</w:t>
      </w:r>
      <w:r>
        <w:t xml:space="preserve"> växer i luckig ek- och ädellövskog samt hagmark och löväng där den på örtrik mark bildar mykorrhiza med ek, ev. även med hassel och bok. Arten kan betraktas som en indikatorart för goda lövbiotoper och lokaler med rik förekomst av denna art har ett högt skyddsvärde och bör bevaras i oförändrat skick. Ekskogar och ädellövskogar med ek skall inte ersättas med annat trädslag och brukning bör ske med stor försiktighet (SLU Artdatabanken, 2024).</w:t>
      </w:r>
    </w:p>
    <w:p>
      <w:r>
        <w:rPr>
          <w:b/>
        </w:rPr>
        <w:t>Rävticka</w:t>
      </w:r>
      <w:r>
        <w:t xml:space="preserve"> är typisk art för </w:t>
      </w:r>
      <w:r>
        <w:rPr>
          <w:i/>
        </w:rPr>
        <w:t xml:space="preserve">9010 Taiga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 xml:space="preserve">Ekorrbär </w:t>
      </w:r>
      <w:r>
        <w:t xml:space="preserve">är typisk art för </w:t>
      </w:r>
      <w:r>
        <w:rPr>
          <w:i/>
        </w:rPr>
        <w:t xml:space="preserve">9190 Näringsfattig ekskog </w:t>
      </w:r>
      <w:r>
        <w:t>(SLU Artdatabanken, 2025).</w:t>
      </w:r>
    </w:p>
    <w:p>
      <w:r>
        <w:rPr>
          <w:b/>
        </w:rPr>
        <w:t>Kärrfibbla</w:t>
      </w:r>
      <w:r>
        <w:t xml:space="preserve"> är typisk art för </w:t>
      </w:r>
      <w:r>
        <w:rPr>
          <w:i/>
        </w:rPr>
        <w:t xml:space="preserve">9050 Näringsrik granskog, 9080 Lövsumpskog </w:t>
      </w:r>
      <w:r>
        <w:t>och</w:t>
      </w:r>
      <w:r>
        <w:rPr>
          <w:i/>
        </w:rPr>
        <w:t xml:space="preserve"> 9040 Fjällbjörkskog </w:t>
      </w:r>
      <w:r>
        <w:t>(SLU Artdatabanken, 2025).</w:t>
      </w:r>
    </w:p>
    <w:p>
      <w:r>
        <w:rPr>
          <w:b/>
        </w:rPr>
        <w:t>Mörk lungört</w:t>
      </w:r>
      <w:r>
        <w:t xml:space="preserve"> är typisk art för </w:t>
      </w:r>
      <w:r>
        <w:rPr>
          <w:i/>
        </w:rPr>
        <w:t xml:space="preserve">9020 Nordlig ädellövskog, 9160 Näringsrik ekskog </w:t>
      </w:r>
      <w:r>
        <w:t>och</w:t>
      </w:r>
      <w:r>
        <w:rPr>
          <w:i/>
        </w:rPr>
        <w:t xml:space="preserve"> 9180 Ädellövskog i branter</w:t>
      </w:r>
      <w:r>
        <w:t>. Lungört är värdväxt för de rödlistade fjärilarna lungörtssäckmal (CR) och lungörtssorgmal (NT) samt för skalbaggen lungörtsvivel (NT) (SLU Artdatabanken, 2026).</w:t>
      </w:r>
    </w:p>
    <w:p>
      <w:r>
        <w:rPr>
          <w:b/>
        </w:rPr>
        <w:t>Skogsbingel</w:t>
      </w:r>
      <w:r>
        <w:t xml:space="preserve"> är typisk art för </w:t>
      </w:r>
      <w:r>
        <w:rPr>
          <w:i/>
        </w:rPr>
        <w:t xml:space="preserve">9050 Näringsrik granskog, 9020 Nordlig ädellövskog, 9130 Näringsrik bokskog, 9160 Näringsrik ekskog </w:t>
      </w:r>
      <w:r>
        <w:t>och</w:t>
      </w:r>
      <w:r>
        <w:rPr>
          <w:i/>
        </w:rPr>
        <w:t xml:space="preserve"> 9180 Ädellövskog i branter</w:t>
      </w:r>
      <w:r>
        <w:t>. På skogsbingel kan i lundar och lövskogar den rödlistade arten bingeljordloppa (NT) påträffas. Bingeljordloppans larver äter på värdväxtens rötter. Fullbildade individer påträffas främst under vår och försommar. Den är mycket lokal i sitt uppträdande eftersom arten har svagt utvecklade flygvingar och saknar flygförmåga (SLU Artdatabanken, 2026).</w:t>
      </w:r>
    </w:p>
    <w:p>
      <w:r>
        <w:rPr>
          <w:b/>
        </w:rPr>
        <w:t>Storrams</w:t>
      </w:r>
      <w:r>
        <w:t xml:space="preserve"> är typisk art för </w:t>
      </w:r>
      <w:r>
        <w:rPr>
          <w:i/>
        </w:rPr>
        <w:t xml:space="preserve">9020 Nordlig ädellövskog, 9130 Näringsrik bokskog </w:t>
      </w:r>
      <w:r>
        <w:t>och</w:t>
      </w:r>
      <w:r>
        <w:rPr>
          <w:i/>
        </w:rPr>
        <w:t xml:space="preserve"> 9160 Näringsrik ekskog </w:t>
      </w:r>
      <w:r>
        <w:t>(SLU Artdatabanken, 2025).</w:t>
      </w:r>
    </w:p>
    <w:p>
      <w:r>
        <w:rPr>
          <w:b/>
        </w:rPr>
        <w:t xml:space="preserve">Tandrot </w:t>
      </w:r>
      <w:r>
        <w:t xml:space="preserve">är typisk art för </w:t>
      </w:r>
      <w:r>
        <w:rPr>
          <w:i/>
        </w:rPr>
        <w:t xml:space="preserve">9020 Nordlig ädellövskog </w:t>
      </w:r>
      <w:r>
        <w:t>och</w:t>
      </w:r>
      <w:r>
        <w:rPr>
          <w:i/>
        </w:rPr>
        <w:t xml:space="preserve"> 9130 Näringsrik bokskog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